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E92CC" w14:textId="75888C01" w:rsidR="00714754" w:rsidRPr="00D041F1" w:rsidRDefault="00714754" w:rsidP="001F3253">
      <w:pPr>
        <w:tabs>
          <w:tab w:val="left" w:pos="180"/>
          <w:tab w:val="left" w:pos="9720"/>
        </w:tabs>
        <w:spacing w:after="120"/>
        <w:ind w:right="180"/>
        <w:rPr>
          <w:rFonts w:ascii="Arial" w:hAnsi="Arial" w:cs="Arial"/>
          <w:b/>
          <w:smallCaps/>
          <w:sz w:val="22"/>
          <w:szCs w:val="22"/>
          <w:u w:val="single"/>
        </w:rPr>
      </w:pPr>
      <w:r w:rsidRPr="00D041F1">
        <w:rPr>
          <w:rFonts w:ascii="Arial" w:hAnsi="Arial" w:cs="Arial"/>
          <w:b/>
          <w:smallCaps/>
          <w:sz w:val="22"/>
          <w:szCs w:val="22"/>
          <w:u w:val="single"/>
        </w:rPr>
        <w:t>Resources</w:t>
      </w:r>
    </w:p>
    <w:p w14:paraId="3FEF78A9" w14:textId="5C6F4BB6" w:rsidR="0087153D" w:rsidRPr="008C0DD6" w:rsidRDefault="002C46F4" w:rsidP="00587649">
      <w:pPr>
        <w:tabs>
          <w:tab w:val="left" w:pos="270"/>
        </w:tabs>
        <w:adjustRightInd w:val="0"/>
        <w:spacing w:after="120"/>
        <w:rPr>
          <w:rFonts w:ascii="Arial" w:hAnsi="Arial" w:cs="Arial"/>
          <w:noProof/>
          <w:sz w:val="22"/>
          <w:szCs w:val="22"/>
        </w:rPr>
      </w:pPr>
      <w:r w:rsidRPr="008C0DD6">
        <w:rPr>
          <w:noProof/>
          <w:sz w:val="22"/>
          <w:szCs w:val="22"/>
        </w:rPr>
        <w:drawing>
          <wp:anchor distT="0" distB="0" distL="114300" distR="114300" simplePos="0" relativeHeight="251658240" behindDoc="0" locked="0" layoutInCell="1" allowOverlap="1" wp14:anchorId="07744E69" wp14:editId="5AC2AFAD">
            <wp:simplePos x="0" y="0"/>
            <wp:positionH relativeFrom="margin">
              <wp:posOffset>3649980</wp:posOffset>
            </wp:positionH>
            <wp:positionV relativeFrom="paragraph">
              <wp:posOffset>1391920</wp:posOffset>
            </wp:positionV>
            <wp:extent cx="3192780" cy="2186305"/>
            <wp:effectExtent l="0" t="0" r="762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4007" t="9829" r="31389" b="13382"/>
                    <a:stretch/>
                  </pic:blipFill>
                  <pic:spPr bwMode="auto">
                    <a:xfrm>
                      <a:off x="0" y="0"/>
                      <a:ext cx="3192780" cy="2186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529C" w:rsidRPr="008C0DD6">
        <w:rPr>
          <w:rFonts w:ascii="Arial" w:hAnsi="Arial" w:cs="Arial"/>
          <w:b/>
          <w:sz w:val="22"/>
          <w:szCs w:val="22"/>
          <w:u w:val="single"/>
        </w:rPr>
        <w:t>Children's Mercy Research Institute (CMRI):</w:t>
      </w:r>
      <w:r w:rsidR="0018529C" w:rsidRPr="008C0DD6">
        <w:rPr>
          <w:rFonts w:ascii="Arial" w:hAnsi="Arial" w:cs="Arial"/>
          <w:bCs/>
          <w:sz w:val="22"/>
          <w:szCs w:val="22"/>
        </w:rPr>
        <w:t xml:space="preserve"> Founded in 2016, CMRI was developed to transform the outstanding clinical care environment of Children’s Mercy Kansas City (CMKC) by integrating pediatric translational research. The goal of CMRI is to become a national leader in pediatric translational research over the next several years. To realize this goal, </w:t>
      </w:r>
      <w:r w:rsidR="00FE7DFB" w:rsidRPr="008C0DD6">
        <w:rPr>
          <w:rFonts w:ascii="Arial" w:hAnsi="Arial" w:cs="Arial"/>
          <w:bCs/>
          <w:sz w:val="22"/>
          <w:szCs w:val="22"/>
        </w:rPr>
        <w:t xml:space="preserve">CMRI prioritized strategic investments to grow research capabilities focusing on our emerging strengths, resulting in the identification of </w:t>
      </w:r>
      <w:r w:rsidR="00040F07">
        <w:rPr>
          <w:rFonts w:ascii="Arial" w:hAnsi="Arial" w:cs="Arial"/>
          <w:bCs/>
          <w:sz w:val="22"/>
          <w:szCs w:val="22"/>
        </w:rPr>
        <w:t>five</w:t>
      </w:r>
      <w:r w:rsidR="00FE7DFB" w:rsidRPr="008C0DD6">
        <w:rPr>
          <w:rFonts w:ascii="Arial" w:hAnsi="Arial" w:cs="Arial"/>
          <w:bCs/>
          <w:sz w:val="22"/>
          <w:szCs w:val="22"/>
        </w:rPr>
        <w:t xml:space="preserve"> major research areas of emphasis: Genomic Medicine, Precision Therapeutics, Health Services and Outcomes, Innovation in Healthcare Delivery</w:t>
      </w:r>
      <w:r w:rsidR="00040F07">
        <w:rPr>
          <w:rFonts w:ascii="Arial" w:hAnsi="Arial" w:cs="Arial"/>
          <w:bCs/>
          <w:sz w:val="22"/>
          <w:szCs w:val="22"/>
        </w:rPr>
        <w:t xml:space="preserve"> and Emerging Infections.</w:t>
      </w:r>
      <w:r w:rsidR="00FE7DFB" w:rsidRPr="008C0DD6">
        <w:rPr>
          <w:rFonts w:ascii="Arial" w:hAnsi="Arial" w:cs="Arial"/>
          <w:bCs/>
          <w:sz w:val="22"/>
          <w:szCs w:val="22"/>
        </w:rPr>
        <w:t xml:space="preserve"> </w:t>
      </w:r>
      <w:r w:rsidR="00286353" w:rsidRPr="008C0DD6">
        <w:rPr>
          <w:rFonts w:ascii="Arial" w:hAnsi="Arial" w:cs="Arial"/>
          <w:bCs/>
          <w:sz w:val="22"/>
          <w:szCs w:val="22"/>
        </w:rPr>
        <w:t>Conceptually, the f</w:t>
      </w:r>
      <w:r w:rsidR="00040F07">
        <w:rPr>
          <w:rFonts w:ascii="Arial" w:hAnsi="Arial" w:cs="Arial"/>
          <w:bCs/>
          <w:sz w:val="22"/>
          <w:szCs w:val="22"/>
        </w:rPr>
        <w:t xml:space="preserve">ive </w:t>
      </w:r>
      <w:r w:rsidR="00286353" w:rsidRPr="008C0DD6">
        <w:rPr>
          <w:rFonts w:ascii="Arial" w:hAnsi="Arial" w:cs="Arial"/>
          <w:bCs/>
          <w:sz w:val="22"/>
          <w:szCs w:val="22"/>
        </w:rPr>
        <w:t>areas of emphasis can be viewed from the context of translational research, to deliver the benefits of pediatric precision medicine.</w:t>
      </w:r>
      <w:r w:rsidR="0018529C" w:rsidRPr="008C0DD6">
        <w:rPr>
          <w:rFonts w:ascii="Arial" w:hAnsi="Arial" w:cs="Arial"/>
          <w:bCs/>
          <w:sz w:val="22"/>
          <w:szCs w:val="22"/>
        </w:rPr>
        <w:t xml:space="preserve"> This requires precision diagnostics, involving the application of “</w:t>
      </w:r>
      <w:proofErr w:type="spellStart"/>
      <w:r w:rsidR="0018529C" w:rsidRPr="008C0DD6">
        <w:rPr>
          <w:rFonts w:ascii="Arial" w:hAnsi="Arial" w:cs="Arial"/>
          <w:bCs/>
          <w:sz w:val="22"/>
          <w:szCs w:val="22"/>
        </w:rPr>
        <w:t>omic</w:t>
      </w:r>
      <w:proofErr w:type="spellEnd"/>
      <w:r w:rsidR="0018529C" w:rsidRPr="008C0DD6">
        <w:rPr>
          <w:rFonts w:ascii="Arial" w:hAnsi="Arial" w:cs="Arial"/>
          <w:bCs/>
          <w:sz w:val="22"/>
          <w:szCs w:val="22"/>
        </w:rPr>
        <w:t xml:space="preserve">” technologies, such as massively parallel sequencing of DNA and RNA, proteomic profiling, </w:t>
      </w:r>
      <w:proofErr w:type="gramStart"/>
      <w:r w:rsidR="0018529C" w:rsidRPr="008C0DD6">
        <w:rPr>
          <w:rFonts w:ascii="Arial" w:hAnsi="Arial" w:cs="Arial"/>
          <w:bCs/>
          <w:sz w:val="22"/>
          <w:szCs w:val="22"/>
        </w:rPr>
        <w:t>metabolomics</w:t>
      </w:r>
      <w:proofErr w:type="gramEnd"/>
      <w:r w:rsidR="0018529C" w:rsidRPr="008C0DD6">
        <w:rPr>
          <w:rFonts w:ascii="Arial" w:hAnsi="Arial" w:cs="Arial"/>
          <w:bCs/>
          <w:sz w:val="22"/>
          <w:szCs w:val="22"/>
        </w:rPr>
        <w:t xml:space="preserve"> and metagenomics, to improve the identification and characterization of diseases affecting children, and especially those with onset shortly after birth. </w:t>
      </w:r>
      <w:r w:rsidR="008C0DD6">
        <w:rPr>
          <w:rFonts w:ascii="Arial" w:hAnsi="Arial" w:cs="Arial"/>
          <w:bCs/>
          <w:sz w:val="22"/>
          <w:szCs w:val="22"/>
        </w:rPr>
        <w:t xml:space="preserve"> Precise diagnoses </w:t>
      </w:r>
      <w:r w:rsidR="00CC39E3">
        <w:rPr>
          <w:rFonts w:ascii="Arial" w:hAnsi="Arial" w:cs="Arial"/>
          <w:bCs/>
          <w:sz w:val="22"/>
          <w:szCs w:val="22"/>
        </w:rPr>
        <w:t>need to be accompanied by equally precise interventions that p</w:t>
      </w:r>
      <w:r w:rsidR="00097E97">
        <w:rPr>
          <w:rFonts w:ascii="Arial" w:hAnsi="Arial" w:cs="Arial"/>
          <w:bCs/>
          <w:sz w:val="22"/>
          <w:szCs w:val="22"/>
        </w:rPr>
        <w:t xml:space="preserve">ositively impact the patients </w:t>
      </w:r>
      <w:r w:rsidR="00EA1985">
        <w:rPr>
          <w:rFonts w:ascii="Arial" w:hAnsi="Arial" w:cs="Arial"/>
          <w:bCs/>
          <w:sz w:val="22"/>
          <w:szCs w:val="22"/>
        </w:rPr>
        <w:t xml:space="preserve">CMKC serves.  </w:t>
      </w:r>
      <w:r w:rsidR="0018529C" w:rsidRPr="008C0DD6">
        <w:rPr>
          <w:rFonts w:ascii="Arial" w:hAnsi="Arial" w:cs="Arial"/>
          <w:bCs/>
          <w:sz w:val="22"/>
          <w:szCs w:val="22"/>
        </w:rPr>
        <w:t xml:space="preserve">In January 2018, CMRI and CMKC announced the receipt of two major gifts, totaling $150M, to support the construction of a new research building in the middle of our campus and to recruit a cadre of junior and senior investigators. </w:t>
      </w:r>
      <w:r w:rsidR="00BC18A2" w:rsidRPr="008C0DD6">
        <w:rPr>
          <w:rFonts w:ascii="Arial" w:hAnsi="Arial" w:cs="Arial"/>
          <w:bCs/>
          <w:sz w:val="22"/>
          <w:szCs w:val="22"/>
        </w:rPr>
        <w:t xml:space="preserve">The building opened in </w:t>
      </w:r>
      <w:r w:rsidR="00BD7B4E" w:rsidRPr="008C0DD6">
        <w:rPr>
          <w:rFonts w:ascii="Arial" w:hAnsi="Arial" w:cs="Arial"/>
          <w:bCs/>
          <w:sz w:val="22"/>
          <w:szCs w:val="22"/>
        </w:rPr>
        <w:t>October</w:t>
      </w:r>
      <w:r w:rsidR="00BC18A2" w:rsidRPr="008C0DD6">
        <w:rPr>
          <w:rFonts w:ascii="Arial" w:hAnsi="Arial" w:cs="Arial"/>
          <w:bCs/>
          <w:sz w:val="22"/>
          <w:szCs w:val="22"/>
        </w:rPr>
        <w:t xml:space="preserve"> 2020 </w:t>
      </w:r>
      <w:r w:rsidR="0018529C" w:rsidRPr="008C0DD6">
        <w:rPr>
          <w:rFonts w:ascii="Arial" w:hAnsi="Arial" w:cs="Arial"/>
          <w:bCs/>
          <w:sz w:val="22"/>
          <w:szCs w:val="22"/>
        </w:rPr>
        <w:t>with 9 floors</w:t>
      </w:r>
      <w:r w:rsidR="009B7E55" w:rsidRPr="008C0DD6">
        <w:rPr>
          <w:rFonts w:ascii="Arial" w:hAnsi="Arial" w:cs="Arial"/>
          <w:bCs/>
          <w:sz w:val="22"/>
          <w:szCs w:val="22"/>
        </w:rPr>
        <w:t>,</w:t>
      </w:r>
      <w:r w:rsidR="0018529C" w:rsidRPr="008C0DD6">
        <w:rPr>
          <w:rFonts w:ascii="Arial" w:hAnsi="Arial" w:cs="Arial"/>
          <w:bCs/>
          <w:sz w:val="22"/>
          <w:szCs w:val="22"/>
        </w:rPr>
        <w:t xml:space="preserve"> each 42,000 gsf</w:t>
      </w:r>
      <w:r w:rsidR="009B7E55" w:rsidRPr="008C0DD6">
        <w:rPr>
          <w:rFonts w:ascii="Arial" w:hAnsi="Arial" w:cs="Arial"/>
          <w:bCs/>
          <w:sz w:val="22"/>
          <w:szCs w:val="22"/>
        </w:rPr>
        <w:t xml:space="preserve"> in area</w:t>
      </w:r>
      <w:r w:rsidR="00C36351" w:rsidRPr="008C0DD6">
        <w:rPr>
          <w:rFonts w:ascii="Arial" w:hAnsi="Arial" w:cs="Arial"/>
          <w:bCs/>
          <w:sz w:val="22"/>
          <w:szCs w:val="22"/>
        </w:rPr>
        <w:t xml:space="preserve">, </w:t>
      </w:r>
      <w:r w:rsidR="00E975E9" w:rsidRPr="008C0DD6">
        <w:rPr>
          <w:rFonts w:ascii="Arial" w:hAnsi="Arial" w:cs="Arial"/>
          <w:bCs/>
          <w:sz w:val="22"/>
          <w:szCs w:val="22"/>
        </w:rPr>
        <w:t>two of which remain unoccupied for future exp</w:t>
      </w:r>
      <w:r w:rsidR="00471DE4" w:rsidRPr="008C0DD6">
        <w:rPr>
          <w:rFonts w:ascii="Arial" w:hAnsi="Arial" w:cs="Arial"/>
          <w:bCs/>
          <w:sz w:val="22"/>
          <w:szCs w:val="22"/>
        </w:rPr>
        <w:t>ansion.</w:t>
      </w:r>
      <w:r w:rsidRPr="008C0DD6">
        <w:rPr>
          <w:rFonts w:ascii="Arial" w:hAnsi="Arial" w:cs="Arial"/>
          <w:noProof/>
          <w:sz w:val="22"/>
          <w:szCs w:val="22"/>
        </w:rPr>
        <w:t xml:space="preserve"> </w:t>
      </w:r>
    </w:p>
    <w:p w14:paraId="5F4ECE18" w14:textId="2A64903D" w:rsidR="008D68DB" w:rsidRPr="008D68DB" w:rsidRDefault="008D68DB" w:rsidP="00587649">
      <w:pPr>
        <w:tabs>
          <w:tab w:val="left" w:pos="270"/>
        </w:tabs>
        <w:adjustRightInd w:val="0"/>
        <w:spacing w:after="120"/>
        <w:rPr>
          <w:rFonts w:ascii="Arial" w:hAnsi="Arial" w:cs="Arial"/>
          <w:noProof/>
          <w:sz w:val="22"/>
          <w:szCs w:val="22"/>
        </w:rPr>
      </w:pPr>
      <w:r>
        <w:rPr>
          <w:rFonts w:ascii="Arial" w:hAnsi="Arial" w:cs="Arial"/>
          <w:noProof/>
          <w:sz w:val="22"/>
          <w:szCs w:val="22"/>
        </w:rPr>
        <w:t>In addition to the wet- and dry-lab</w:t>
      </w:r>
      <w:r w:rsidR="00814A2F">
        <w:rPr>
          <w:rFonts w:ascii="Arial" w:hAnsi="Arial" w:cs="Arial"/>
          <w:noProof/>
          <w:sz w:val="22"/>
          <w:szCs w:val="22"/>
        </w:rPr>
        <w:t xml:space="preserve"> facilities </w:t>
      </w:r>
      <w:r w:rsidR="00C23B55">
        <w:rPr>
          <w:rFonts w:ascii="Arial" w:hAnsi="Arial" w:cs="Arial"/>
          <w:noProof/>
          <w:sz w:val="22"/>
          <w:szCs w:val="22"/>
        </w:rPr>
        <w:t xml:space="preserve">on the upper floors </w:t>
      </w:r>
      <w:r w:rsidR="00814A2F">
        <w:rPr>
          <w:rFonts w:ascii="Arial" w:hAnsi="Arial" w:cs="Arial"/>
          <w:noProof/>
          <w:sz w:val="22"/>
          <w:szCs w:val="22"/>
        </w:rPr>
        <w:t>described in more detail below, the first floor of the CMRI b</w:t>
      </w:r>
      <w:r w:rsidR="00C23B55">
        <w:rPr>
          <w:rFonts w:ascii="Arial" w:hAnsi="Arial" w:cs="Arial"/>
          <w:noProof/>
          <w:sz w:val="22"/>
          <w:szCs w:val="22"/>
        </w:rPr>
        <w:t>uildi</w:t>
      </w:r>
      <w:r w:rsidR="00814A2F">
        <w:rPr>
          <w:rFonts w:ascii="Arial" w:hAnsi="Arial" w:cs="Arial"/>
          <w:noProof/>
          <w:sz w:val="22"/>
          <w:szCs w:val="22"/>
        </w:rPr>
        <w:t xml:space="preserve">ng </w:t>
      </w:r>
      <w:r w:rsidR="002F110D">
        <w:rPr>
          <w:rFonts w:ascii="Arial" w:hAnsi="Arial" w:cs="Arial"/>
          <w:noProof/>
          <w:sz w:val="22"/>
          <w:szCs w:val="22"/>
        </w:rPr>
        <w:t>provides meeting and confe</w:t>
      </w:r>
      <w:r w:rsidR="000A354C">
        <w:rPr>
          <w:rFonts w:ascii="Arial" w:hAnsi="Arial" w:cs="Arial"/>
          <w:noProof/>
          <w:sz w:val="22"/>
          <w:szCs w:val="22"/>
        </w:rPr>
        <w:t>r</w:t>
      </w:r>
      <w:r w:rsidR="002F110D">
        <w:rPr>
          <w:rFonts w:ascii="Arial" w:hAnsi="Arial" w:cs="Arial"/>
          <w:noProof/>
          <w:sz w:val="22"/>
          <w:szCs w:val="22"/>
        </w:rPr>
        <w:t>ence facilities, including a</w:t>
      </w:r>
      <w:r w:rsidR="005652DC">
        <w:rPr>
          <w:rFonts w:ascii="Arial" w:hAnsi="Arial" w:cs="Arial"/>
          <w:noProof/>
          <w:sz w:val="22"/>
          <w:szCs w:val="22"/>
        </w:rPr>
        <w:t xml:space="preserve">n Auditorium with state-of-the-art </w:t>
      </w:r>
      <w:r w:rsidR="000A354C">
        <w:rPr>
          <w:rFonts w:ascii="Arial" w:hAnsi="Arial" w:cs="Arial"/>
          <w:noProof/>
          <w:sz w:val="22"/>
          <w:szCs w:val="22"/>
        </w:rPr>
        <w:t xml:space="preserve">video and audio capabilities and seating capacity of </w:t>
      </w:r>
      <w:r w:rsidR="00DA3AC4">
        <w:rPr>
          <w:rFonts w:ascii="Arial" w:hAnsi="Arial" w:cs="Arial"/>
          <w:noProof/>
          <w:sz w:val="22"/>
          <w:szCs w:val="22"/>
        </w:rPr>
        <w:t>380</w:t>
      </w:r>
      <w:r w:rsidR="007E5A0E">
        <w:rPr>
          <w:rFonts w:ascii="Arial" w:hAnsi="Arial" w:cs="Arial"/>
          <w:noProof/>
          <w:sz w:val="22"/>
          <w:szCs w:val="22"/>
        </w:rPr>
        <w:t xml:space="preserve"> (</w:t>
      </w:r>
      <w:r w:rsidR="00DA3AC4">
        <w:rPr>
          <w:rFonts w:ascii="Arial" w:hAnsi="Arial" w:cs="Arial"/>
          <w:noProof/>
          <w:sz w:val="22"/>
          <w:szCs w:val="22"/>
        </w:rPr>
        <w:t xml:space="preserve">with potential expansion to </w:t>
      </w:r>
      <w:r w:rsidR="007E5A0E">
        <w:rPr>
          <w:rFonts w:ascii="Arial" w:hAnsi="Arial" w:cs="Arial"/>
          <w:noProof/>
          <w:sz w:val="22"/>
          <w:szCs w:val="22"/>
        </w:rPr>
        <w:t xml:space="preserve">accommodate </w:t>
      </w:r>
      <w:r w:rsidR="00DA3AC4">
        <w:rPr>
          <w:rFonts w:ascii="Arial" w:hAnsi="Arial" w:cs="Arial"/>
          <w:noProof/>
          <w:sz w:val="22"/>
          <w:szCs w:val="22"/>
        </w:rPr>
        <w:t xml:space="preserve">450 </w:t>
      </w:r>
      <w:r w:rsidR="00C23B55">
        <w:rPr>
          <w:rFonts w:ascii="Arial" w:hAnsi="Arial" w:cs="Arial"/>
          <w:noProof/>
          <w:sz w:val="22"/>
          <w:szCs w:val="22"/>
        </w:rPr>
        <w:t>attendees</w:t>
      </w:r>
      <w:r w:rsidR="007E5A0E">
        <w:rPr>
          <w:rFonts w:ascii="Arial" w:hAnsi="Arial" w:cs="Arial"/>
          <w:noProof/>
          <w:sz w:val="22"/>
          <w:szCs w:val="22"/>
        </w:rPr>
        <w:t xml:space="preserve">), </w:t>
      </w:r>
      <w:r w:rsidR="00BD2BD2">
        <w:rPr>
          <w:rFonts w:ascii="Arial" w:hAnsi="Arial" w:cs="Arial"/>
          <w:noProof/>
          <w:sz w:val="22"/>
          <w:szCs w:val="22"/>
        </w:rPr>
        <w:t xml:space="preserve">a total of 9,650 sq ft of conference space comprised of </w:t>
      </w:r>
      <w:r w:rsidR="005E5E94">
        <w:rPr>
          <w:rFonts w:ascii="Arial" w:hAnsi="Arial" w:cs="Arial"/>
          <w:noProof/>
          <w:sz w:val="22"/>
          <w:szCs w:val="22"/>
        </w:rPr>
        <w:t xml:space="preserve">11 conference rooms with seating capacity for 11 to 46 people and </w:t>
      </w:r>
      <w:r w:rsidR="008C5383">
        <w:rPr>
          <w:rFonts w:ascii="Arial" w:hAnsi="Arial" w:cs="Arial"/>
          <w:noProof/>
          <w:sz w:val="22"/>
          <w:szCs w:val="22"/>
        </w:rPr>
        <w:t>two computer labs with 40 stations each.</w:t>
      </w:r>
    </w:p>
    <w:p w14:paraId="764AA0D3" w14:textId="77777777" w:rsidR="00DB3C1C" w:rsidRDefault="00DB3C1C" w:rsidP="00587649">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b/>
          <w:sz w:val="22"/>
          <w:szCs w:val="22"/>
        </w:rPr>
      </w:pPr>
      <w:r>
        <w:rPr>
          <w:rFonts w:ascii="Arial" w:hAnsi="Arial" w:cs="Arial"/>
          <w:b/>
          <w:sz w:val="22"/>
          <w:szCs w:val="22"/>
        </w:rPr>
        <w:t>Genomic Medicine Center</w:t>
      </w:r>
    </w:p>
    <w:p w14:paraId="62B53186" w14:textId="77777777" w:rsidR="00927961" w:rsidRDefault="00927961" w:rsidP="00927961">
      <w:pPr>
        <w:tabs>
          <w:tab w:val="left" w:pos="180"/>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sz w:val="22"/>
          <w:szCs w:val="22"/>
        </w:rPr>
      </w:pPr>
      <w:r w:rsidRPr="00424B0D">
        <w:rPr>
          <w:rFonts w:ascii="Arial" w:hAnsi="Arial" w:cs="Arial"/>
          <w:sz w:val="22"/>
          <w:szCs w:val="22"/>
        </w:rPr>
        <w:t>The Genomic Medicine Center (GMC) was established in 2011 and currently occupies</w:t>
      </w:r>
      <w:r w:rsidRPr="00424B0D">
        <w:rPr>
          <w:rFonts w:ascii="Arial" w:hAnsi="Arial" w:cs="Arial"/>
          <w:bCs/>
          <w:sz w:val="22"/>
          <w:szCs w:val="22"/>
        </w:rPr>
        <w:t xml:space="preserve"> 15,400 sq ft (9,280 sq ft laboratory and 6,130 sq ft office, </w:t>
      </w:r>
      <w:proofErr w:type="gramStart"/>
      <w:r w:rsidRPr="00424B0D">
        <w:rPr>
          <w:rFonts w:ascii="Arial" w:hAnsi="Arial" w:cs="Arial"/>
          <w:bCs/>
          <w:sz w:val="22"/>
          <w:szCs w:val="22"/>
        </w:rPr>
        <w:t>cubicle</w:t>
      </w:r>
      <w:proofErr w:type="gramEnd"/>
      <w:r w:rsidRPr="00424B0D">
        <w:rPr>
          <w:rFonts w:ascii="Arial" w:hAnsi="Arial" w:cs="Arial"/>
          <w:bCs/>
          <w:sz w:val="22"/>
          <w:szCs w:val="22"/>
        </w:rPr>
        <w:t xml:space="preserve"> and touchdown space) on the third floor of the new CMRI building, adjacent to the Pharmacogenomics and Analytical facilities of the Precision Therapeutics program.  The facility was designed to support increased processing of human biospecimens, tissues and cells, for various omics studies. </w:t>
      </w:r>
      <w:r w:rsidRPr="00424B0D">
        <w:rPr>
          <w:rFonts w:ascii="Arial" w:hAnsi="Arial" w:cs="Arial"/>
          <w:sz w:val="22"/>
          <w:szCs w:val="22"/>
        </w:rPr>
        <w:t>All sequencing operations at GMC are performed in a custom-designed, CLIA-accredited, genome center with versioned, written protocols.  The Major Center capital equipment items include</w:t>
      </w:r>
      <w:r>
        <w:rPr>
          <w:rFonts w:ascii="Arial" w:hAnsi="Arial" w:cs="Arial"/>
          <w:sz w:val="22"/>
          <w:szCs w:val="22"/>
        </w:rPr>
        <w:t xml:space="preserve">, three PacBio </w:t>
      </w:r>
      <w:proofErr w:type="spellStart"/>
      <w:r>
        <w:rPr>
          <w:rFonts w:ascii="Arial" w:hAnsi="Arial" w:cs="Arial"/>
          <w:sz w:val="22"/>
          <w:szCs w:val="22"/>
        </w:rPr>
        <w:t>Revios</w:t>
      </w:r>
      <w:proofErr w:type="spellEnd"/>
      <w:r>
        <w:rPr>
          <w:rFonts w:ascii="Arial" w:hAnsi="Arial" w:cs="Arial"/>
          <w:sz w:val="22"/>
          <w:szCs w:val="22"/>
        </w:rPr>
        <w:t xml:space="preserve"> and two</w:t>
      </w:r>
      <w:r w:rsidRPr="00424B0D">
        <w:rPr>
          <w:rFonts w:ascii="Arial" w:hAnsi="Arial" w:cs="Arial"/>
          <w:sz w:val="22"/>
          <w:szCs w:val="22"/>
        </w:rPr>
        <w:t xml:space="preserve"> PacBio Sequel </w:t>
      </w:r>
      <w:proofErr w:type="spellStart"/>
      <w:r w:rsidRPr="00424B0D">
        <w:rPr>
          <w:rFonts w:ascii="Arial" w:hAnsi="Arial" w:cs="Arial"/>
          <w:sz w:val="22"/>
          <w:szCs w:val="22"/>
        </w:rPr>
        <w:t>IIe</w:t>
      </w:r>
      <w:proofErr w:type="spellEnd"/>
      <w:r w:rsidRPr="00424B0D">
        <w:rPr>
          <w:rFonts w:ascii="Arial" w:hAnsi="Arial" w:cs="Arial"/>
          <w:sz w:val="22"/>
          <w:szCs w:val="22"/>
        </w:rPr>
        <w:t xml:space="preserve"> sequencers, one Illumina </w:t>
      </w:r>
      <w:proofErr w:type="spellStart"/>
      <w:r w:rsidRPr="00424B0D">
        <w:rPr>
          <w:rFonts w:ascii="Arial" w:hAnsi="Arial" w:cs="Arial"/>
          <w:sz w:val="22"/>
          <w:szCs w:val="22"/>
        </w:rPr>
        <w:t>NovaSeq</w:t>
      </w:r>
      <w:proofErr w:type="spellEnd"/>
      <w:r w:rsidRPr="00424B0D">
        <w:rPr>
          <w:rFonts w:ascii="Arial" w:hAnsi="Arial" w:cs="Arial"/>
          <w:sz w:val="22"/>
          <w:szCs w:val="22"/>
        </w:rPr>
        <w:t xml:space="preserve"> </w:t>
      </w:r>
      <w:r>
        <w:rPr>
          <w:rFonts w:ascii="Arial" w:hAnsi="Arial" w:cs="Arial"/>
          <w:sz w:val="22"/>
          <w:szCs w:val="22"/>
        </w:rPr>
        <w:t>X Plus</w:t>
      </w:r>
      <w:r w:rsidRPr="00424B0D">
        <w:rPr>
          <w:rFonts w:ascii="Arial" w:hAnsi="Arial" w:cs="Arial"/>
          <w:sz w:val="22"/>
          <w:szCs w:val="22"/>
        </w:rPr>
        <w:t xml:space="preserve">, one </w:t>
      </w:r>
      <w:proofErr w:type="spellStart"/>
      <w:r w:rsidRPr="00424B0D">
        <w:rPr>
          <w:rFonts w:ascii="Arial" w:hAnsi="Arial" w:cs="Arial"/>
          <w:sz w:val="22"/>
          <w:szCs w:val="22"/>
        </w:rPr>
        <w:t>NextSeq</w:t>
      </w:r>
      <w:proofErr w:type="spellEnd"/>
      <w:r w:rsidRPr="00424B0D">
        <w:rPr>
          <w:rFonts w:ascii="Arial" w:hAnsi="Arial" w:cs="Arial"/>
          <w:sz w:val="22"/>
          <w:szCs w:val="22"/>
        </w:rPr>
        <w:t xml:space="preserve"> 2000 sequencer, two Illumina </w:t>
      </w:r>
      <w:proofErr w:type="spellStart"/>
      <w:r w:rsidRPr="00424B0D">
        <w:rPr>
          <w:rFonts w:ascii="Arial" w:hAnsi="Arial" w:cs="Arial"/>
          <w:sz w:val="22"/>
          <w:szCs w:val="22"/>
        </w:rPr>
        <w:t>MiSeqs</w:t>
      </w:r>
      <w:proofErr w:type="spellEnd"/>
      <w:r w:rsidRPr="00424B0D">
        <w:rPr>
          <w:rFonts w:ascii="Arial" w:hAnsi="Arial" w:cs="Arial"/>
          <w:sz w:val="22"/>
          <w:szCs w:val="22"/>
        </w:rPr>
        <w:t xml:space="preserve">, one </w:t>
      </w:r>
      <w:proofErr w:type="spellStart"/>
      <w:r w:rsidRPr="00424B0D">
        <w:rPr>
          <w:rFonts w:ascii="Arial" w:hAnsi="Arial" w:cs="Arial"/>
          <w:sz w:val="22"/>
          <w:szCs w:val="22"/>
        </w:rPr>
        <w:t>Fluidigm</w:t>
      </w:r>
      <w:proofErr w:type="spellEnd"/>
      <w:r w:rsidRPr="00424B0D">
        <w:rPr>
          <w:rFonts w:ascii="Arial" w:hAnsi="Arial" w:cs="Arial"/>
          <w:sz w:val="22"/>
          <w:szCs w:val="22"/>
        </w:rPr>
        <w:t xml:space="preserve"> C1 instrument, three 10X Chromium systems, one BD Rhapsody Single-Cell Analysis System, two Hamilton NGS Star instruments, one PerkinElmer </w:t>
      </w:r>
      <w:proofErr w:type="spellStart"/>
      <w:r w:rsidRPr="00424B0D">
        <w:rPr>
          <w:rFonts w:ascii="Arial" w:hAnsi="Arial" w:cs="Arial"/>
          <w:sz w:val="22"/>
          <w:szCs w:val="22"/>
        </w:rPr>
        <w:t>Sciclone</w:t>
      </w:r>
      <w:proofErr w:type="spellEnd"/>
      <w:r w:rsidRPr="00424B0D">
        <w:rPr>
          <w:rFonts w:ascii="Arial" w:hAnsi="Arial" w:cs="Arial"/>
          <w:sz w:val="22"/>
          <w:szCs w:val="22"/>
        </w:rPr>
        <w:t xml:space="preserve"> NGS</w:t>
      </w:r>
      <w:r>
        <w:rPr>
          <w:rFonts w:ascii="Arial" w:hAnsi="Arial" w:cs="Arial"/>
          <w:sz w:val="22"/>
          <w:szCs w:val="22"/>
        </w:rPr>
        <w:t xml:space="preserve"> as well as </w:t>
      </w:r>
      <w:r w:rsidRPr="00424B0D">
        <w:rPr>
          <w:rFonts w:ascii="Arial" w:hAnsi="Arial" w:cs="Arial"/>
          <w:sz w:val="22"/>
          <w:szCs w:val="22"/>
        </w:rPr>
        <w:t xml:space="preserve">one Janus 8-Tip with Gripper liquid handling robots for sequencing library preparation, qPCR, and hybridization enrichment and purifications incorporating </w:t>
      </w:r>
      <w:proofErr w:type="spellStart"/>
      <w:r w:rsidRPr="00424B0D">
        <w:rPr>
          <w:rFonts w:ascii="Arial" w:hAnsi="Arial" w:cs="Arial"/>
          <w:sz w:val="22"/>
          <w:szCs w:val="22"/>
        </w:rPr>
        <w:t>Agencourt</w:t>
      </w:r>
      <w:proofErr w:type="spellEnd"/>
      <w:r w:rsidRPr="00424B0D">
        <w:rPr>
          <w:rFonts w:ascii="Arial" w:hAnsi="Arial" w:cs="Arial"/>
          <w:sz w:val="22"/>
          <w:szCs w:val="22"/>
        </w:rPr>
        <w:t xml:space="preserve"> SPRI magnetic bead separations; a PerkinElmer </w:t>
      </w:r>
      <w:proofErr w:type="spellStart"/>
      <w:r w:rsidRPr="00424B0D">
        <w:rPr>
          <w:rFonts w:ascii="Arial" w:hAnsi="Arial" w:cs="Arial"/>
          <w:sz w:val="22"/>
          <w:szCs w:val="22"/>
        </w:rPr>
        <w:t>Chemagic</w:t>
      </w:r>
      <w:proofErr w:type="spellEnd"/>
      <w:r w:rsidRPr="00424B0D">
        <w:rPr>
          <w:rFonts w:ascii="Arial" w:hAnsi="Arial" w:cs="Arial"/>
          <w:sz w:val="22"/>
          <w:szCs w:val="22"/>
        </w:rPr>
        <w:t xml:space="preserve"> 360 robot for nucleic acid isolation, a </w:t>
      </w:r>
      <w:proofErr w:type="spellStart"/>
      <w:r w:rsidRPr="00424B0D">
        <w:rPr>
          <w:rFonts w:ascii="Arial" w:hAnsi="Arial" w:cs="Arial"/>
          <w:sz w:val="22"/>
          <w:szCs w:val="22"/>
        </w:rPr>
        <w:t>ThermoFisher</w:t>
      </w:r>
      <w:proofErr w:type="spellEnd"/>
      <w:r w:rsidRPr="00424B0D">
        <w:rPr>
          <w:rFonts w:ascii="Arial" w:hAnsi="Arial" w:cs="Arial"/>
          <w:sz w:val="22"/>
          <w:szCs w:val="22"/>
        </w:rPr>
        <w:t xml:space="preserve"> </w:t>
      </w:r>
      <w:proofErr w:type="spellStart"/>
      <w:r w:rsidRPr="00424B0D">
        <w:rPr>
          <w:rFonts w:ascii="Arial" w:hAnsi="Arial" w:cs="Arial"/>
          <w:sz w:val="22"/>
          <w:szCs w:val="22"/>
        </w:rPr>
        <w:t>QuantStudio</w:t>
      </w:r>
      <w:proofErr w:type="spellEnd"/>
      <w:r w:rsidRPr="00424B0D">
        <w:rPr>
          <w:rFonts w:ascii="Arial" w:hAnsi="Arial" w:cs="Arial"/>
          <w:sz w:val="22"/>
          <w:szCs w:val="22"/>
        </w:rPr>
        <w:t xml:space="preserve"> 12K Flex Real-Time PCR System capable of running 96-well and 384-well plates, a </w:t>
      </w:r>
      <w:proofErr w:type="spellStart"/>
      <w:r w:rsidRPr="00424B0D">
        <w:rPr>
          <w:rFonts w:ascii="Arial" w:hAnsi="Arial" w:cs="Arial"/>
          <w:sz w:val="22"/>
          <w:szCs w:val="22"/>
        </w:rPr>
        <w:t>TissueLyser</w:t>
      </w:r>
      <w:proofErr w:type="spellEnd"/>
      <w:r w:rsidRPr="00424B0D">
        <w:rPr>
          <w:rFonts w:ascii="Arial" w:hAnsi="Arial" w:cs="Arial"/>
          <w:sz w:val="22"/>
          <w:szCs w:val="22"/>
        </w:rPr>
        <w:t xml:space="preserve"> System, Agilent Bioanalyzer 2000, Agilent </w:t>
      </w:r>
      <w:proofErr w:type="spellStart"/>
      <w:r w:rsidRPr="00424B0D">
        <w:rPr>
          <w:rFonts w:ascii="Arial" w:hAnsi="Arial" w:cs="Arial"/>
          <w:sz w:val="22"/>
          <w:szCs w:val="22"/>
        </w:rPr>
        <w:t>TapeStation</w:t>
      </w:r>
      <w:proofErr w:type="spellEnd"/>
      <w:r w:rsidRPr="00424B0D">
        <w:rPr>
          <w:rFonts w:ascii="Arial" w:hAnsi="Arial" w:cs="Arial"/>
          <w:sz w:val="22"/>
          <w:szCs w:val="22"/>
        </w:rPr>
        <w:t xml:space="preserve"> </w:t>
      </w:r>
      <w:r>
        <w:rPr>
          <w:rFonts w:ascii="Arial" w:hAnsi="Arial" w:cs="Arial"/>
          <w:sz w:val="22"/>
          <w:szCs w:val="22"/>
        </w:rPr>
        <w:t>4</w:t>
      </w:r>
      <w:r w:rsidRPr="00424B0D">
        <w:rPr>
          <w:rFonts w:ascii="Arial" w:hAnsi="Arial" w:cs="Arial"/>
          <w:sz w:val="22"/>
          <w:szCs w:val="22"/>
        </w:rPr>
        <w:t xml:space="preserve">200, two Agilent Fragment Analyzer systems, an Agilent </w:t>
      </w:r>
      <w:proofErr w:type="spellStart"/>
      <w:r w:rsidRPr="00424B0D">
        <w:rPr>
          <w:rFonts w:ascii="Arial" w:hAnsi="Arial" w:cs="Arial"/>
          <w:sz w:val="22"/>
          <w:szCs w:val="22"/>
        </w:rPr>
        <w:t>Femto</w:t>
      </w:r>
      <w:proofErr w:type="spellEnd"/>
      <w:r w:rsidRPr="00424B0D">
        <w:rPr>
          <w:rFonts w:ascii="Arial" w:hAnsi="Arial" w:cs="Arial"/>
          <w:sz w:val="22"/>
          <w:szCs w:val="22"/>
        </w:rPr>
        <w:t xml:space="preserve"> Pulse System, two Sage Science Pippin HT instruments, one Sage Elf instrument, a </w:t>
      </w:r>
      <w:proofErr w:type="spellStart"/>
      <w:r w:rsidRPr="00424B0D">
        <w:rPr>
          <w:rFonts w:ascii="Arial" w:hAnsi="Arial" w:cs="Arial"/>
          <w:sz w:val="22"/>
          <w:szCs w:val="22"/>
        </w:rPr>
        <w:t>Covaris</w:t>
      </w:r>
      <w:proofErr w:type="spellEnd"/>
      <w:r w:rsidRPr="00424B0D">
        <w:rPr>
          <w:rFonts w:ascii="Arial" w:hAnsi="Arial" w:cs="Arial"/>
          <w:sz w:val="22"/>
          <w:szCs w:val="22"/>
        </w:rPr>
        <w:t xml:space="preserve"> LE220-Plus 96-well plate DNA sonication system, </w:t>
      </w:r>
      <w:r>
        <w:rPr>
          <w:rFonts w:ascii="Arial" w:hAnsi="Arial" w:cs="Arial"/>
          <w:sz w:val="22"/>
          <w:szCs w:val="22"/>
        </w:rPr>
        <w:t>three</w:t>
      </w:r>
      <w:r w:rsidRPr="00424B0D">
        <w:rPr>
          <w:rFonts w:ascii="Arial" w:hAnsi="Arial" w:cs="Arial"/>
          <w:sz w:val="22"/>
          <w:szCs w:val="22"/>
        </w:rPr>
        <w:t xml:space="preserve"> </w:t>
      </w:r>
      <w:proofErr w:type="spellStart"/>
      <w:r w:rsidRPr="00424B0D">
        <w:rPr>
          <w:rFonts w:ascii="Arial" w:hAnsi="Arial" w:cs="Arial"/>
          <w:sz w:val="22"/>
          <w:szCs w:val="22"/>
        </w:rPr>
        <w:t>Diagenode</w:t>
      </w:r>
      <w:proofErr w:type="spellEnd"/>
      <w:r w:rsidRPr="00424B0D">
        <w:rPr>
          <w:rFonts w:ascii="Arial" w:hAnsi="Arial" w:cs="Arial"/>
          <w:sz w:val="22"/>
          <w:szCs w:val="22"/>
        </w:rPr>
        <w:t xml:space="preserve"> </w:t>
      </w:r>
      <w:proofErr w:type="spellStart"/>
      <w:r w:rsidRPr="00424B0D">
        <w:rPr>
          <w:rFonts w:ascii="Arial" w:hAnsi="Arial" w:cs="Arial"/>
          <w:sz w:val="22"/>
          <w:szCs w:val="22"/>
        </w:rPr>
        <w:t>Megaruptor</w:t>
      </w:r>
      <w:proofErr w:type="spellEnd"/>
      <w:r w:rsidRPr="00424B0D">
        <w:rPr>
          <w:rFonts w:ascii="Arial" w:hAnsi="Arial" w:cs="Arial"/>
          <w:sz w:val="22"/>
          <w:szCs w:val="22"/>
        </w:rPr>
        <w:t xml:space="preserve"> 3 system</w:t>
      </w:r>
      <w:r>
        <w:rPr>
          <w:rFonts w:ascii="Arial" w:hAnsi="Arial" w:cs="Arial"/>
          <w:sz w:val="22"/>
          <w:szCs w:val="22"/>
        </w:rPr>
        <w:t>s</w:t>
      </w:r>
      <w:r w:rsidRPr="00424B0D">
        <w:rPr>
          <w:rFonts w:ascii="Arial" w:hAnsi="Arial" w:cs="Arial"/>
          <w:sz w:val="22"/>
          <w:szCs w:val="22"/>
        </w:rPr>
        <w:t xml:space="preserve">, a Nanodrop S2000 spectrophotometer, two Qubit 4.0 Fluorometers, a Tecan Spark plate reader, twelve Eppendorf </w:t>
      </w:r>
      <w:proofErr w:type="spellStart"/>
      <w:r w:rsidRPr="00424B0D">
        <w:rPr>
          <w:rFonts w:ascii="Arial" w:hAnsi="Arial" w:cs="Arial"/>
          <w:sz w:val="22"/>
          <w:szCs w:val="22"/>
        </w:rPr>
        <w:t>MasterCycler</w:t>
      </w:r>
      <w:proofErr w:type="spellEnd"/>
      <w:r w:rsidRPr="00424B0D">
        <w:rPr>
          <w:rFonts w:ascii="Arial" w:hAnsi="Arial" w:cs="Arial"/>
          <w:sz w:val="22"/>
          <w:szCs w:val="22"/>
        </w:rPr>
        <w:t xml:space="preserve"> Pro thermal cyclers, two Bio-Rad S1000 thermal cyclers, twenty vortex mixers, five refrigerated minicentrifuges, 11 minicentrifuges, five refrigerated swinging bucket centrifuges, six swinging bucket centrifuges, one Beckman Coulter Optima XL ultracentrifuge, and eight temperature dry baths. The GMC has a Brooks </w:t>
      </w:r>
      <w:proofErr w:type="spellStart"/>
      <w:r w:rsidRPr="00424B0D">
        <w:rPr>
          <w:rFonts w:ascii="Arial" w:hAnsi="Arial" w:cs="Arial"/>
          <w:sz w:val="22"/>
          <w:szCs w:val="22"/>
        </w:rPr>
        <w:t>BioStore</w:t>
      </w:r>
      <w:proofErr w:type="spellEnd"/>
      <w:r w:rsidRPr="00424B0D">
        <w:rPr>
          <w:rFonts w:ascii="Arial" w:hAnsi="Arial" w:cs="Arial"/>
          <w:sz w:val="22"/>
          <w:szCs w:val="22"/>
        </w:rPr>
        <w:t xml:space="preserve"> III </w:t>
      </w:r>
      <w:proofErr w:type="spellStart"/>
      <w:r w:rsidRPr="00424B0D">
        <w:rPr>
          <w:rFonts w:ascii="Arial" w:hAnsi="Arial" w:cs="Arial"/>
          <w:sz w:val="22"/>
          <w:szCs w:val="22"/>
        </w:rPr>
        <w:t>Cryo</w:t>
      </w:r>
      <w:proofErr w:type="spellEnd"/>
      <w:r w:rsidRPr="00424B0D">
        <w:rPr>
          <w:rFonts w:ascii="Arial" w:hAnsi="Arial" w:cs="Arial"/>
          <w:sz w:val="22"/>
          <w:szCs w:val="22"/>
        </w:rPr>
        <w:t xml:space="preserve"> -190°C System for automated storage and retrieval of cryopreserved specimens, eight upright -70° C freezer, twelve -20°C freezers and seven 4°C refrigerators. The center also has eight BLS2 tissue culture hoods, five incubators for cell culture, a Wolf </w:t>
      </w:r>
      <w:proofErr w:type="spellStart"/>
      <w:r w:rsidRPr="00424B0D">
        <w:rPr>
          <w:rFonts w:ascii="Arial" w:hAnsi="Arial" w:cs="Arial"/>
          <w:sz w:val="22"/>
          <w:szCs w:val="22"/>
        </w:rPr>
        <w:t>Nanocellect</w:t>
      </w:r>
      <w:proofErr w:type="spellEnd"/>
      <w:r w:rsidRPr="00424B0D">
        <w:rPr>
          <w:rFonts w:ascii="Arial" w:hAnsi="Arial" w:cs="Arial"/>
          <w:sz w:val="22"/>
          <w:szCs w:val="22"/>
        </w:rPr>
        <w:t xml:space="preserve"> cell sorter equipped with a N1 single cell dispenser, a Mantis low volume reagent dispenser from </w:t>
      </w:r>
      <w:proofErr w:type="spellStart"/>
      <w:r w:rsidRPr="00424B0D">
        <w:rPr>
          <w:rFonts w:ascii="Arial" w:hAnsi="Arial" w:cs="Arial"/>
          <w:sz w:val="22"/>
          <w:szCs w:val="22"/>
        </w:rPr>
        <w:t>Formulatrix</w:t>
      </w:r>
      <w:proofErr w:type="spellEnd"/>
      <w:r w:rsidRPr="00424B0D">
        <w:rPr>
          <w:rFonts w:ascii="Arial" w:hAnsi="Arial" w:cs="Arial"/>
          <w:sz w:val="22"/>
          <w:szCs w:val="22"/>
        </w:rPr>
        <w:t xml:space="preserve">, a Nikon Eclipse Ts2R inverted microscope with </w:t>
      </w:r>
      <w:proofErr w:type="spellStart"/>
      <w:r w:rsidRPr="00424B0D">
        <w:rPr>
          <w:rFonts w:ascii="Arial" w:hAnsi="Arial" w:cs="Arial"/>
          <w:sz w:val="22"/>
          <w:szCs w:val="22"/>
        </w:rPr>
        <w:t>diascopic</w:t>
      </w:r>
      <w:proofErr w:type="spellEnd"/>
      <w:r w:rsidRPr="00424B0D">
        <w:rPr>
          <w:rFonts w:ascii="Arial" w:hAnsi="Arial" w:cs="Arial"/>
          <w:sz w:val="22"/>
          <w:szCs w:val="22"/>
        </w:rPr>
        <w:t xml:space="preserve">/epi-fluorescence modes and attached </w:t>
      </w:r>
      <w:r w:rsidRPr="00424B0D">
        <w:rPr>
          <w:rFonts w:ascii="Arial" w:hAnsi="Arial" w:cs="Arial"/>
          <w:sz w:val="22"/>
          <w:szCs w:val="22"/>
        </w:rPr>
        <w:lastRenderedPageBreak/>
        <w:t>Infinity camera, two Nikon Eclipse Ts2R inverted microscopes and one Nikon Eclipse TS2R-FLinverted microscope.</w:t>
      </w:r>
    </w:p>
    <w:p w14:paraId="5C39D584" w14:textId="77777777" w:rsidR="00927961" w:rsidRPr="00424B0D" w:rsidRDefault="00927961" w:rsidP="00927961">
      <w:pPr>
        <w:tabs>
          <w:tab w:val="left" w:pos="180"/>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bCs/>
          <w:sz w:val="22"/>
          <w:szCs w:val="22"/>
        </w:rPr>
      </w:pPr>
      <w:r>
        <w:rPr>
          <w:rFonts w:ascii="Arial" w:hAnsi="Arial" w:cs="Arial"/>
          <w:bCs/>
          <w:sz w:val="22"/>
          <w:szCs w:val="22"/>
        </w:rPr>
        <w:t xml:space="preserve">The GMC operates the Genomic Core Service Center, which provides sample preparation and sequencing services on a fee-for-service basis for a variety of next generation sequencing services. These include, but are not limited to, short read whole genome and exome, long read whole genome, bulk </w:t>
      </w:r>
      <w:proofErr w:type="gramStart"/>
      <w:r>
        <w:rPr>
          <w:rFonts w:ascii="Arial" w:hAnsi="Arial" w:cs="Arial"/>
          <w:bCs/>
          <w:sz w:val="22"/>
          <w:szCs w:val="22"/>
        </w:rPr>
        <w:t>RNA</w:t>
      </w:r>
      <w:proofErr w:type="gramEnd"/>
      <w:r>
        <w:rPr>
          <w:rFonts w:ascii="Arial" w:hAnsi="Arial" w:cs="Arial"/>
          <w:bCs/>
          <w:sz w:val="22"/>
          <w:szCs w:val="22"/>
        </w:rPr>
        <w:t xml:space="preserve"> and single cell assay sequencing. Genomic Core services are open to both internal and external clients. Additional information can be obtained by contacting the Genomic Core at </w:t>
      </w:r>
      <w:hyperlink r:id="rId12" w:history="1">
        <w:r w:rsidRPr="00F84556">
          <w:rPr>
            <w:rStyle w:val="Hyperlink"/>
            <w:rFonts w:ascii="Arial" w:hAnsi="Arial" w:cs="Arial"/>
            <w:bCs/>
            <w:sz w:val="22"/>
            <w:szCs w:val="22"/>
          </w:rPr>
          <w:t>genomicscore@cmh.edu</w:t>
        </w:r>
      </w:hyperlink>
      <w:r>
        <w:rPr>
          <w:rFonts w:ascii="Arial" w:hAnsi="Arial" w:cs="Arial"/>
          <w:bCs/>
          <w:sz w:val="22"/>
          <w:szCs w:val="22"/>
        </w:rPr>
        <w:t xml:space="preserve"> or visiting the Genomic Core Scope page (</w:t>
      </w:r>
      <w:hyperlink r:id="rId13" w:history="1">
        <w:r w:rsidRPr="00F84556">
          <w:rPr>
            <w:rStyle w:val="Hyperlink"/>
            <w:rFonts w:ascii="Arial" w:hAnsi="Arial" w:cs="Arial"/>
            <w:bCs/>
            <w:sz w:val="22"/>
            <w:szCs w:val="22"/>
          </w:rPr>
          <w:t>https://scope.cmh.edu/research/research-support/researcher-resources/genomic-core-service-center/</w:t>
        </w:r>
      </w:hyperlink>
      <w:r>
        <w:rPr>
          <w:rFonts w:ascii="Arial" w:hAnsi="Arial" w:cs="Arial"/>
          <w:bCs/>
          <w:sz w:val="22"/>
          <w:szCs w:val="22"/>
        </w:rPr>
        <w:t>), which contains service descriptions and pricing for internal investigators.</w:t>
      </w:r>
    </w:p>
    <w:p w14:paraId="31C1221D" w14:textId="0A458D45" w:rsidR="00927961" w:rsidRDefault="00927961" w:rsidP="00927961">
      <w:pPr>
        <w:shd w:val="clear" w:color="auto" w:fill="FFFFFF" w:themeFill="background1"/>
        <w:tabs>
          <w:tab w:val="left" w:pos="3240"/>
        </w:tabs>
        <w:spacing w:before="40"/>
        <w:rPr>
          <w:rFonts w:ascii="Arial" w:hAnsi="Arial" w:cs="Arial"/>
          <w:sz w:val="22"/>
          <w:szCs w:val="22"/>
        </w:rPr>
      </w:pPr>
      <w:r w:rsidRPr="00424B0D">
        <w:rPr>
          <w:rFonts w:ascii="Arial" w:hAnsi="Arial" w:cs="Arial"/>
          <w:sz w:val="22"/>
          <w:szCs w:val="22"/>
        </w:rPr>
        <w:t xml:space="preserve">The Genome Center </w:t>
      </w:r>
      <w:r>
        <w:rPr>
          <w:rFonts w:ascii="Arial" w:hAnsi="Arial" w:cs="Arial"/>
          <w:sz w:val="22"/>
          <w:szCs w:val="22"/>
        </w:rPr>
        <w:t xml:space="preserve">migrated </w:t>
      </w:r>
      <w:r w:rsidRPr="00424B0D">
        <w:rPr>
          <w:rFonts w:ascii="Arial" w:hAnsi="Arial" w:cs="Arial"/>
          <w:sz w:val="22"/>
          <w:szCs w:val="22"/>
        </w:rPr>
        <w:t>its computational infrastructure to the Microsoft Azure cloud in 202</w:t>
      </w:r>
      <w:r>
        <w:rPr>
          <w:rFonts w:ascii="Arial" w:hAnsi="Arial" w:cs="Arial"/>
          <w:sz w:val="22"/>
          <w:szCs w:val="22"/>
        </w:rPr>
        <w:t>2</w:t>
      </w:r>
      <w:r w:rsidRPr="00424B0D">
        <w:rPr>
          <w:rFonts w:ascii="Arial" w:hAnsi="Arial" w:cs="Arial"/>
          <w:sz w:val="22"/>
          <w:szCs w:val="22"/>
        </w:rPr>
        <w:t>. An Azure ExpressRoute provides dedicated, high-</w:t>
      </w:r>
      <w:proofErr w:type="gramStart"/>
      <w:r w:rsidRPr="00424B0D">
        <w:rPr>
          <w:rFonts w:ascii="Arial" w:hAnsi="Arial" w:cs="Arial"/>
          <w:sz w:val="22"/>
          <w:szCs w:val="22"/>
        </w:rPr>
        <w:t>capacity</w:t>
      </w:r>
      <w:proofErr w:type="gramEnd"/>
      <w:r w:rsidRPr="00424B0D">
        <w:rPr>
          <w:rFonts w:ascii="Arial" w:hAnsi="Arial" w:cs="Arial"/>
          <w:sz w:val="22"/>
          <w:szCs w:val="22"/>
        </w:rPr>
        <w:t xml:space="preserve"> and low-latency connection to resources in the Azure cloud.  Computational analysis pipelines </w:t>
      </w:r>
      <w:r>
        <w:rPr>
          <w:rFonts w:ascii="Arial" w:hAnsi="Arial" w:cs="Arial"/>
          <w:sz w:val="22"/>
          <w:szCs w:val="22"/>
        </w:rPr>
        <w:t xml:space="preserve">are scheduled in </w:t>
      </w:r>
      <w:proofErr w:type="spellStart"/>
      <w:r>
        <w:rPr>
          <w:rFonts w:ascii="Arial" w:hAnsi="Arial" w:cs="Arial"/>
          <w:sz w:val="22"/>
          <w:szCs w:val="22"/>
        </w:rPr>
        <w:t>Cyclecloud</w:t>
      </w:r>
      <w:proofErr w:type="spellEnd"/>
      <w:r w:rsidRPr="00424B0D">
        <w:rPr>
          <w:rFonts w:ascii="Arial" w:hAnsi="Arial" w:cs="Arial"/>
          <w:sz w:val="22"/>
          <w:szCs w:val="22"/>
        </w:rPr>
        <w:t xml:space="preserve"> platform</w:t>
      </w:r>
      <w:r>
        <w:rPr>
          <w:rFonts w:ascii="Arial" w:hAnsi="Arial" w:cs="Arial"/>
          <w:sz w:val="22"/>
          <w:szCs w:val="22"/>
        </w:rPr>
        <w:t xml:space="preserve"> and utilize WDL workflows dedicated to each data modality</w:t>
      </w:r>
      <w:r w:rsidRPr="00424B0D">
        <w:rPr>
          <w:rFonts w:ascii="Arial" w:hAnsi="Arial" w:cs="Arial"/>
          <w:sz w:val="22"/>
          <w:szCs w:val="22"/>
        </w:rPr>
        <w:t>.  The cloud platform allow</w:t>
      </w:r>
      <w:r>
        <w:rPr>
          <w:rFonts w:ascii="Arial" w:hAnsi="Arial" w:cs="Arial"/>
          <w:sz w:val="22"/>
          <w:szCs w:val="22"/>
        </w:rPr>
        <w:t>s</w:t>
      </w:r>
      <w:r w:rsidRPr="00424B0D">
        <w:rPr>
          <w:rFonts w:ascii="Arial" w:hAnsi="Arial" w:cs="Arial"/>
          <w:sz w:val="22"/>
          <w:szCs w:val="22"/>
        </w:rPr>
        <w:t xml:space="preserve"> </w:t>
      </w:r>
      <w:r>
        <w:rPr>
          <w:rFonts w:ascii="Arial" w:hAnsi="Arial" w:cs="Arial"/>
          <w:sz w:val="22"/>
          <w:szCs w:val="22"/>
        </w:rPr>
        <w:t xml:space="preserve">Genomic Medicine Center </w:t>
      </w:r>
      <w:r w:rsidRPr="00424B0D">
        <w:rPr>
          <w:rFonts w:ascii="Arial" w:hAnsi="Arial" w:cs="Arial"/>
          <w:sz w:val="22"/>
          <w:szCs w:val="22"/>
        </w:rPr>
        <w:t xml:space="preserve">researchers to take advantage of a diverse range of hardware configurations including very large RAM servers, </w:t>
      </w:r>
      <w:proofErr w:type="gramStart"/>
      <w:r w:rsidRPr="00424B0D">
        <w:rPr>
          <w:rFonts w:ascii="Arial" w:hAnsi="Arial" w:cs="Arial"/>
          <w:sz w:val="22"/>
          <w:szCs w:val="22"/>
        </w:rPr>
        <w:t>GPUs</w:t>
      </w:r>
      <w:proofErr w:type="gramEnd"/>
      <w:r w:rsidRPr="00424B0D">
        <w:rPr>
          <w:rFonts w:ascii="Arial" w:hAnsi="Arial" w:cs="Arial"/>
          <w:sz w:val="22"/>
          <w:szCs w:val="22"/>
        </w:rPr>
        <w:t xml:space="preserve"> and the ability to scale resources up and down as dictated by needs.  The Azure cloud provides scalable storage that accommodate</w:t>
      </w:r>
      <w:r>
        <w:rPr>
          <w:rFonts w:ascii="Arial" w:hAnsi="Arial" w:cs="Arial"/>
          <w:sz w:val="22"/>
          <w:szCs w:val="22"/>
        </w:rPr>
        <w:t>s</w:t>
      </w:r>
      <w:r w:rsidRPr="00424B0D">
        <w:rPr>
          <w:rFonts w:ascii="Arial" w:hAnsi="Arial" w:cs="Arial"/>
          <w:sz w:val="22"/>
          <w:szCs w:val="22"/>
        </w:rPr>
        <w:t xml:space="preserve"> the 3+ petabytes of data </w:t>
      </w:r>
      <w:r w:rsidR="00AA46D1">
        <w:rPr>
          <w:rFonts w:ascii="Arial" w:hAnsi="Arial" w:cs="Arial"/>
          <w:sz w:val="22"/>
          <w:szCs w:val="22"/>
        </w:rPr>
        <w:t xml:space="preserve">which </w:t>
      </w:r>
      <w:r w:rsidRPr="00424B0D">
        <w:rPr>
          <w:rFonts w:ascii="Arial" w:hAnsi="Arial" w:cs="Arial"/>
          <w:sz w:val="22"/>
          <w:szCs w:val="22"/>
        </w:rPr>
        <w:t>provide</w:t>
      </w:r>
      <w:r>
        <w:rPr>
          <w:rFonts w:ascii="Arial" w:hAnsi="Arial" w:cs="Arial"/>
          <w:sz w:val="22"/>
          <w:szCs w:val="22"/>
        </w:rPr>
        <w:t>s</w:t>
      </w:r>
      <w:r w:rsidRPr="00424B0D">
        <w:rPr>
          <w:rFonts w:ascii="Arial" w:hAnsi="Arial" w:cs="Arial"/>
          <w:sz w:val="22"/>
          <w:szCs w:val="22"/>
        </w:rPr>
        <w:t xml:space="preserve"> an easy mechanism to grow with the Center’s needs.</w:t>
      </w:r>
    </w:p>
    <w:p w14:paraId="5946815C" w14:textId="77777777" w:rsidR="00927961" w:rsidRPr="00424B0D" w:rsidRDefault="00927961" w:rsidP="00927961">
      <w:pPr>
        <w:shd w:val="clear" w:color="auto" w:fill="FFFFFF" w:themeFill="background1"/>
        <w:tabs>
          <w:tab w:val="left" w:pos="3240"/>
        </w:tabs>
        <w:spacing w:before="40"/>
        <w:rPr>
          <w:rFonts w:ascii="Arial" w:hAnsi="Arial" w:cs="Arial"/>
          <w:sz w:val="22"/>
          <w:szCs w:val="22"/>
        </w:rPr>
      </w:pPr>
    </w:p>
    <w:p w14:paraId="00DD8390" w14:textId="77777777" w:rsidR="00927961" w:rsidRDefault="00927961" w:rsidP="00927961">
      <w:pPr>
        <w:shd w:val="clear" w:color="auto" w:fill="FFFFFF" w:themeFill="background1"/>
        <w:tabs>
          <w:tab w:val="left" w:pos="3240"/>
        </w:tabs>
        <w:spacing w:before="40"/>
        <w:rPr>
          <w:rFonts w:ascii="Arial" w:hAnsi="Arial" w:cs="Arial"/>
          <w:sz w:val="22"/>
          <w:szCs w:val="22"/>
        </w:rPr>
      </w:pPr>
      <w:r w:rsidRPr="00424B0D">
        <w:rPr>
          <w:rFonts w:ascii="Arial" w:hAnsi="Arial" w:cs="Arial"/>
          <w:sz w:val="22"/>
          <w:szCs w:val="22"/>
        </w:rPr>
        <w:t xml:space="preserve">Primary analysis of </w:t>
      </w:r>
      <w:proofErr w:type="spellStart"/>
      <w:r w:rsidRPr="00424B0D">
        <w:rPr>
          <w:rFonts w:ascii="Arial" w:hAnsi="Arial" w:cs="Arial"/>
          <w:sz w:val="22"/>
          <w:szCs w:val="22"/>
        </w:rPr>
        <w:t>NovaSeq</w:t>
      </w:r>
      <w:proofErr w:type="spellEnd"/>
      <w:r>
        <w:rPr>
          <w:rFonts w:ascii="Arial" w:hAnsi="Arial" w:cs="Arial"/>
          <w:sz w:val="22"/>
          <w:szCs w:val="22"/>
        </w:rPr>
        <w:t xml:space="preserve"> X</w:t>
      </w:r>
      <w:r w:rsidRPr="00424B0D">
        <w:rPr>
          <w:rFonts w:ascii="Arial" w:hAnsi="Arial" w:cs="Arial"/>
          <w:sz w:val="22"/>
          <w:szCs w:val="22"/>
        </w:rPr>
        <w:t xml:space="preserve"> genome sequences, to produce sequence reads, is performed with Illumina Real Time Analysis (RTA) software and bcl2Fastq2-20. 10X Genomics data is processed by longranger-2.2.2, cellranger-5.0.0 and cellranger-atac-1.0.1. Results of primary analysis are stored in the Center sequence archive, in which each sequence run has a single top-level directory that stores the sequences and quality scores from that run. After the completion of primary analysis, raw sequence run data (intensity files, BCL files) are discarded. Quality control for each sequence run is achieved through review of sequencing metrics produced by the Illumina sequencing control software. Illumina seq. runs are passed or failed according to a written protocol.</w:t>
      </w:r>
    </w:p>
    <w:p w14:paraId="4D0CD652" w14:textId="77777777" w:rsidR="00927961" w:rsidRPr="00424B0D" w:rsidRDefault="00927961" w:rsidP="00927961">
      <w:pPr>
        <w:shd w:val="clear" w:color="auto" w:fill="FFFFFF" w:themeFill="background1"/>
        <w:tabs>
          <w:tab w:val="left" w:pos="3240"/>
        </w:tabs>
        <w:spacing w:before="40"/>
        <w:rPr>
          <w:rFonts w:ascii="Arial" w:hAnsi="Arial" w:cs="Arial"/>
          <w:sz w:val="22"/>
          <w:szCs w:val="22"/>
        </w:rPr>
      </w:pPr>
    </w:p>
    <w:p w14:paraId="0086EBAD" w14:textId="77777777" w:rsidR="00927961" w:rsidRDefault="00927961" w:rsidP="00927961">
      <w:pPr>
        <w:shd w:val="clear" w:color="auto" w:fill="FFFFFF" w:themeFill="background1"/>
        <w:tabs>
          <w:tab w:val="left" w:pos="3240"/>
        </w:tabs>
        <w:spacing w:before="40"/>
        <w:rPr>
          <w:rFonts w:ascii="Arial" w:hAnsi="Arial" w:cs="Arial"/>
          <w:sz w:val="22"/>
          <w:szCs w:val="22"/>
        </w:rPr>
      </w:pPr>
      <w:r w:rsidRPr="00424B0D">
        <w:rPr>
          <w:rFonts w:ascii="Arial" w:hAnsi="Arial" w:cs="Arial"/>
          <w:sz w:val="22"/>
          <w:szCs w:val="22"/>
        </w:rPr>
        <w:t>With its grounding as a center of excellence for the diagnosis of rare, inherited disease, the Center has developed extensive capability for variant detection and interpretation using NGS. Secondary analysis of Illumina and MGI WGS and WES is done with the Illumina DRAGEN Bio-IT platform</w:t>
      </w:r>
      <w:r>
        <w:rPr>
          <w:rFonts w:ascii="Arial" w:hAnsi="Arial" w:cs="Arial"/>
          <w:sz w:val="22"/>
          <w:szCs w:val="22"/>
        </w:rPr>
        <w:t xml:space="preserve"> in MS Azure cloud</w:t>
      </w:r>
      <w:r w:rsidRPr="00424B0D">
        <w:rPr>
          <w:rFonts w:ascii="Arial" w:hAnsi="Arial" w:cs="Arial"/>
          <w:sz w:val="22"/>
          <w:szCs w:val="22"/>
        </w:rPr>
        <w:t xml:space="preserve"> which produces read alignments, and small substitution and insertion/deletion nucleotide variant calls. Copy number variants are called with the DRAGEN CNV module in self-normalized mode.  Structural variants are called using the integrated MANTA caller.</w:t>
      </w:r>
    </w:p>
    <w:p w14:paraId="530BE94B" w14:textId="77777777" w:rsidR="00927961" w:rsidRPr="00424B0D" w:rsidRDefault="00927961" w:rsidP="00927961">
      <w:pPr>
        <w:shd w:val="clear" w:color="auto" w:fill="FFFFFF" w:themeFill="background1"/>
        <w:tabs>
          <w:tab w:val="left" w:pos="3240"/>
        </w:tabs>
        <w:spacing w:before="40"/>
        <w:rPr>
          <w:rFonts w:ascii="Arial" w:hAnsi="Arial" w:cs="Arial"/>
          <w:sz w:val="22"/>
          <w:szCs w:val="22"/>
        </w:rPr>
      </w:pPr>
    </w:p>
    <w:p w14:paraId="0B01CADA" w14:textId="77777777" w:rsidR="00927961" w:rsidRDefault="00927961" w:rsidP="00927961">
      <w:pPr>
        <w:shd w:val="clear" w:color="auto" w:fill="FFFFFF" w:themeFill="background1"/>
        <w:tabs>
          <w:tab w:val="left" w:pos="3240"/>
        </w:tabs>
        <w:spacing w:before="40"/>
        <w:rPr>
          <w:rFonts w:ascii="Arial" w:hAnsi="Arial" w:cs="Arial"/>
          <w:sz w:val="22"/>
          <w:szCs w:val="22"/>
        </w:rPr>
      </w:pPr>
      <w:r w:rsidRPr="00424B0D">
        <w:rPr>
          <w:rFonts w:ascii="Arial" w:hAnsi="Arial" w:cs="Arial"/>
          <w:sz w:val="22"/>
          <w:szCs w:val="22"/>
        </w:rPr>
        <w:t>Primary and secondary analyses of Pacific Biosciences data are performed with SMRT Tools using SMRT Link v</w:t>
      </w:r>
      <w:r>
        <w:rPr>
          <w:rFonts w:ascii="Arial" w:hAnsi="Arial" w:cs="Arial"/>
          <w:sz w:val="22"/>
          <w:szCs w:val="22"/>
        </w:rPr>
        <w:t>13</w:t>
      </w:r>
      <w:r w:rsidRPr="00424B0D">
        <w:rPr>
          <w:rFonts w:ascii="Arial" w:hAnsi="Arial" w:cs="Arial"/>
          <w:sz w:val="22"/>
          <w:szCs w:val="22"/>
        </w:rPr>
        <w:t>.0</w:t>
      </w:r>
      <w:r>
        <w:rPr>
          <w:rFonts w:ascii="Arial" w:hAnsi="Arial" w:cs="Arial"/>
          <w:sz w:val="22"/>
          <w:szCs w:val="22"/>
        </w:rPr>
        <w:t>.</w:t>
      </w:r>
      <w:r w:rsidRPr="00424B0D">
        <w:rPr>
          <w:rFonts w:ascii="Arial" w:hAnsi="Arial" w:cs="Arial"/>
          <w:sz w:val="22"/>
          <w:szCs w:val="22"/>
        </w:rPr>
        <w:t xml:space="preserve">  Circular Consensus Sequences are built from </w:t>
      </w:r>
      <w:proofErr w:type="spellStart"/>
      <w:r>
        <w:rPr>
          <w:rFonts w:ascii="Arial" w:hAnsi="Arial" w:cs="Arial"/>
          <w:sz w:val="22"/>
          <w:szCs w:val="22"/>
        </w:rPr>
        <w:t>Revio</w:t>
      </w:r>
      <w:proofErr w:type="spellEnd"/>
      <w:r>
        <w:rPr>
          <w:rFonts w:ascii="Arial" w:hAnsi="Arial" w:cs="Arial"/>
          <w:sz w:val="22"/>
          <w:szCs w:val="22"/>
        </w:rPr>
        <w:t xml:space="preserve"> on instrument and Sequel </w:t>
      </w:r>
      <w:proofErr w:type="spellStart"/>
      <w:r>
        <w:rPr>
          <w:rFonts w:ascii="Arial" w:hAnsi="Arial" w:cs="Arial"/>
          <w:sz w:val="22"/>
          <w:szCs w:val="22"/>
        </w:rPr>
        <w:t>IIe</w:t>
      </w:r>
      <w:proofErr w:type="spellEnd"/>
      <w:r w:rsidRPr="00424B0D">
        <w:rPr>
          <w:rFonts w:ascii="Arial" w:hAnsi="Arial" w:cs="Arial"/>
          <w:sz w:val="22"/>
          <w:szCs w:val="22"/>
        </w:rPr>
        <w:t xml:space="preserve"> data using the CCS application. Whole genome sequences are aligned with </w:t>
      </w:r>
      <w:proofErr w:type="gramStart"/>
      <w:r w:rsidRPr="00424B0D">
        <w:rPr>
          <w:rFonts w:ascii="Arial" w:hAnsi="Arial" w:cs="Arial"/>
          <w:sz w:val="22"/>
          <w:szCs w:val="22"/>
        </w:rPr>
        <w:t>pbmm2</w:t>
      </w:r>
      <w:proofErr w:type="gramEnd"/>
      <w:r w:rsidRPr="00424B0D">
        <w:rPr>
          <w:rFonts w:ascii="Arial" w:hAnsi="Arial" w:cs="Arial"/>
          <w:sz w:val="22"/>
          <w:szCs w:val="22"/>
        </w:rPr>
        <w:t xml:space="preserve"> and structural variants called with the </w:t>
      </w:r>
      <w:proofErr w:type="spellStart"/>
      <w:r w:rsidRPr="00424B0D">
        <w:rPr>
          <w:rFonts w:ascii="Arial" w:hAnsi="Arial" w:cs="Arial"/>
          <w:sz w:val="22"/>
          <w:szCs w:val="22"/>
        </w:rPr>
        <w:t>pbsv</w:t>
      </w:r>
      <w:proofErr w:type="spellEnd"/>
      <w:r w:rsidRPr="00424B0D">
        <w:rPr>
          <w:rFonts w:ascii="Arial" w:hAnsi="Arial" w:cs="Arial"/>
          <w:sz w:val="22"/>
          <w:szCs w:val="22"/>
        </w:rPr>
        <w:t xml:space="preserve"> module</w:t>
      </w:r>
      <w:r>
        <w:rPr>
          <w:rFonts w:ascii="Arial" w:hAnsi="Arial" w:cs="Arial"/>
          <w:sz w:val="22"/>
          <w:szCs w:val="22"/>
        </w:rPr>
        <w:t xml:space="preserve">, whereas large CNVs are called by </w:t>
      </w:r>
      <w:proofErr w:type="spellStart"/>
      <w:r>
        <w:rPr>
          <w:rFonts w:ascii="Arial" w:hAnsi="Arial" w:cs="Arial"/>
          <w:sz w:val="22"/>
          <w:szCs w:val="22"/>
        </w:rPr>
        <w:t>HiFiCNV</w:t>
      </w:r>
      <w:proofErr w:type="spellEnd"/>
      <w:r>
        <w:rPr>
          <w:rFonts w:ascii="Arial" w:hAnsi="Arial" w:cs="Arial"/>
          <w:sz w:val="22"/>
          <w:szCs w:val="22"/>
        </w:rPr>
        <w:t xml:space="preserve"> and tandem repeats by TRGT</w:t>
      </w:r>
      <w:r w:rsidRPr="00424B0D">
        <w:rPr>
          <w:rFonts w:ascii="Arial" w:hAnsi="Arial" w:cs="Arial"/>
          <w:sz w:val="22"/>
          <w:szCs w:val="22"/>
        </w:rPr>
        <w:t>.</w:t>
      </w:r>
      <w:r>
        <w:rPr>
          <w:rFonts w:ascii="Arial" w:hAnsi="Arial" w:cs="Arial"/>
          <w:sz w:val="22"/>
          <w:szCs w:val="22"/>
        </w:rPr>
        <w:t xml:space="preserve"> Duplicated gene regions are </w:t>
      </w:r>
      <w:proofErr w:type="spellStart"/>
      <w:r>
        <w:rPr>
          <w:rFonts w:ascii="Arial" w:hAnsi="Arial" w:cs="Arial"/>
          <w:sz w:val="22"/>
          <w:szCs w:val="22"/>
        </w:rPr>
        <w:t>analysed</w:t>
      </w:r>
      <w:proofErr w:type="spellEnd"/>
      <w:r>
        <w:rPr>
          <w:rFonts w:ascii="Arial" w:hAnsi="Arial" w:cs="Arial"/>
          <w:sz w:val="22"/>
          <w:szCs w:val="22"/>
        </w:rPr>
        <w:t xml:space="preserve"> using </w:t>
      </w:r>
      <w:proofErr w:type="spellStart"/>
      <w:r>
        <w:rPr>
          <w:rFonts w:ascii="Arial" w:hAnsi="Arial" w:cs="Arial"/>
          <w:sz w:val="22"/>
          <w:szCs w:val="22"/>
        </w:rPr>
        <w:t>Paraphase</w:t>
      </w:r>
      <w:proofErr w:type="spellEnd"/>
      <w:r>
        <w:rPr>
          <w:rFonts w:ascii="Arial" w:hAnsi="Arial" w:cs="Arial"/>
          <w:sz w:val="22"/>
          <w:szCs w:val="22"/>
        </w:rPr>
        <w:t xml:space="preserve"> 3.0.</w:t>
      </w:r>
      <w:r w:rsidRPr="00424B0D">
        <w:rPr>
          <w:rFonts w:ascii="Arial" w:hAnsi="Arial" w:cs="Arial"/>
          <w:sz w:val="22"/>
          <w:szCs w:val="22"/>
        </w:rPr>
        <w:t xml:space="preserve">  De novo assembly of PacBio RNA sequences is performed with </w:t>
      </w:r>
      <w:proofErr w:type="spellStart"/>
      <w:r w:rsidRPr="00424B0D">
        <w:rPr>
          <w:rFonts w:ascii="Arial" w:hAnsi="Arial" w:cs="Arial"/>
          <w:sz w:val="22"/>
          <w:szCs w:val="22"/>
        </w:rPr>
        <w:t>IsoSeq</w:t>
      </w:r>
      <w:proofErr w:type="spellEnd"/>
      <w:r>
        <w:rPr>
          <w:rFonts w:ascii="Arial" w:hAnsi="Arial" w:cs="Arial"/>
          <w:sz w:val="22"/>
          <w:szCs w:val="22"/>
        </w:rPr>
        <w:t xml:space="preserve">, and for genome sequencing personal assemblies are built using </w:t>
      </w:r>
      <w:proofErr w:type="spellStart"/>
      <w:r>
        <w:rPr>
          <w:rFonts w:ascii="Arial" w:hAnsi="Arial" w:cs="Arial"/>
          <w:sz w:val="22"/>
          <w:szCs w:val="22"/>
        </w:rPr>
        <w:t>hifiasm</w:t>
      </w:r>
      <w:proofErr w:type="spellEnd"/>
      <w:r>
        <w:rPr>
          <w:rFonts w:ascii="Arial" w:hAnsi="Arial" w:cs="Arial"/>
          <w:sz w:val="22"/>
          <w:szCs w:val="22"/>
        </w:rPr>
        <w:t xml:space="preserve"> (ran in “trio-mode” for familial samples).</w:t>
      </w:r>
      <w:r w:rsidRPr="00424B0D">
        <w:rPr>
          <w:rFonts w:ascii="Arial" w:hAnsi="Arial" w:cs="Arial"/>
          <w:sz w:val="22"/>
          <w:szCs w:val="22"/>
        </w:rPr>
        <w:t xml:space="preserve">  Small nucleotide variants are called from DNA sequences using Deep Variant </w:t>
      </w:r>
      <w:r>
        <w:rPr>
          <w:rFonts w:ascii="Arial" w:hAnsi="Arial" w:cs="Arial"/>
          <w:sz w:val="22"/>
          <w:szCs w:val="22"/>
        </w:rPr>
        <w:t>(Google)</w:t>
      </w:r>
      <w:r w:rsidRPr="00424B0D">
        <w:rPr>
          <w:rFonts w:ascii="Arial" w:hAnsi="Arial" w:cs="Arial"/>
          <w:sz w:val="22"/>
          <w:szCs w:val="22"/>
        </w:rPr>
        <w:t xml:space="preserve">. </w:t>
      </w:r>
      <w:r>
        <w:rPr>
          <w:rFonts w:ascii="Arial" w:hAnsi="Arial" w:cs="Arial"/>
          <w:sz w:val="22"/>
          <w:szCs w:val="22"/>
        </w:rPr>
        <w:t xml:space="preserve">Methylation detection is </w:t>
      </w:r>
      <w:proofErr w:type="spellStart"/>
      <w:r>
        <w:rPr>
          <w:rFonts w:ascii="Arial" w:hAnsi="Arial" w:cs="Arial"/>
          <w:sz w:val="22"/>
          <w:szCs w:val="22"/>
        </w:rPr>
        <w:t>intergrated</w:t>
      </w:r>
      <w:proofErr w:type="spellEnd"/>
      <w:r>
        <w:rPr>
          <w:rFonts w:ascii="Arial" w:hAnsi="Arial" w:cs="Arial"/>
          <w:sz w:val="22"/>
          <w:szCs w:val="22"/>
        </w:rPr>
        <w:t xml:space="preserve"> to HiFi-GS, this </w:t>
      </w:r>
      <w:r w:rsidRPr="00424B0D">
        <w:rPr>
          <w:rFonts w:ascii="Arial" w:hAnsi="Arial" w:cs="Arial"/>
          <w:sz w:val="22"/>
          <w:szCs w:val="22"/>
        </w:rPr>
        <w:t xml:space="preserve">5-base sequencing technology </w:t>
      </w:r>
      <w:r>
        <w:rPr>
          <w:rFonts w:ascii="Arial" w:hAnsi="Arial" w:cs="Arial"/>
          <w:sz w:val="22"/>
          <w:szCs w:val="22"/>
        </w:rPr>
        <w:t>allows</w:t>
      </w:r>
      <w:r w:rsidRPr="00424B0D">
        <w:rPr>
          <w:rFonts w:ascii="Arial" w:hAnsi="Arial" w:cs="Arial"/>
          <w:sz w:val="22"/>
          <w:szCs w:val="22"/>
        </w:rPr>
        <w:t xml:space="preserve"> simultaneous genetic and epigenetic profiling in patients’ ‘native’ DNA from PacBio is based on combining the kinetic information for neighboring </w:t>
      </w:r>
      <w:proofErr w:type="spellStart"/>
      <w:r w:rsidRPr="00424B0D">
        <w:rPr>
          <w:rFonts w:ascii="Arial" w:hAnsi="Arial" w:cs="Arial"/>
          <w:sz w:val="22"/>
          <w:szCs w:val="22"/>
        </w:rPr>
        <w:t>CpGs</w:t>
      </w:r>
      <w:proofErr w:type="spellEnd"/>
      <w:r w:rsidRPr="00424B0D">
        <w:rPr>
          <w:rFonts w:ascii="Arial" w:hAnsi="Arial" w:cs="Arial"/>
          <w:sz w:val="22"/>
          <w:szCs w:val="22"/>
        </w:rPr>
        <w:t xml:space="preserve"> with the aid of which CpG methylation can now be efficiently profiled using the software “primrose”</w:t>
      </w:r>
      <w:r>
        <w:rPr>
          <w:rFonts w:ascii="Arial" w:hAnsi="Arial" w:cs="Arial"/>
          <w:sz w:val="22"/>
          <w:szCs w:val="22"/>
        </w:rPr>
        <w:t xml:space="preserve"> (on instrument for </w:t>
      </w:r>
      <w:proofErr w:type="spellStart"/>
      <w:r>
        <w:rPr>
          <w:rFonts w:ascii="Arial" w:hAnsi="Arial" w:cs="Arial"/>
          <w:sz w:val="22"/>
          <w:szCs w:val="22"/>
        </w:rPr>
        <w:t>Revio</w:t>
      </w:r>
      <w:proofErr w:type="spellEnd"/>
      <w:r>
        <w:rPr>
          <w:rFonts w:ascii="Arial" w:hAnsi="Arial" w:cs="Arial"/>
          <w:sz w:val="22"/>
          <w:szCs w:val="22"/>
        </w:rPr>
        <w:t xml:space="preserve"> and separately ran for Sequel </w:t>
      </w:r>
      <w:proofErr w:type="spellStart"/>
      <w:r>
        <w:rPr>
          <w:rFonts w:ascii="Arial" w:hAnsi="Arial" w:cs="Arial"/>
          <w:sz w:val="22"/>
          <w:szCs w:val="22"/>
        </w:rPr>
        <w:t>IIe</w:t>
      </w:r>
      <w:proofErr w:type="spellEnd"/>
      <w:r>
        <w:rPr>
          <w:rFonts w:ascii="Arial" w:hAnsi="Arial" w:cs="Arial"/>
          <w:sz w:val="22"/>
          <w:szCs w:val="22"/>
        </w:rPr>
        <w:t xml:space="preserve"> HiFi-GS data).</w:t>
      </w:r>
      <w:r w:rsidRPr="00424B0D">
        <w:rPr>
          <w:rFonts w:ascii="Arial" w:hAnsi="Arial" w:cs="Arial"/>
          <w:sz w:val="22"/>
          <w:szCs w:val="22"/>
        </w:rPr>
        <w:t xml:space="preserve"> We have added the methylome </w:t>
      </w:r>
      <w:r>
        <w:rPr>
          <w:rFonts w:ascii="Arial" w:hAnsi="Arial" w:cs="Arial"/>
          <w:sz w:val="22"/>
          <w:szCs w:val="22"/>
        </w:rPr>
        <w:t xml:space="preserve">variation </w:t>
      </w:r>
      <w:r w:rsidRPr="00424B0D">
        <w:rPr>
          <w:rFonts w:ascii="Arial" w:hAnsi="Arial" w:cs="Arial"/>
          <w:sz w:val="22"/>
          <w:szCs w:val="22"/>
        </w:rPr>
        <w:t>analyses pipeline to all our HiFi-GS runs augmenting existing alignment (by pbmm2), SNV calling (</w:t>
      </w:r>
      <w:proofErr w:type="spellStart"/>
      <w:r w:rsidRPr="00424B0D">
        <w:rPr>
          <w:rFonts w:ascii="Arial" w:hAnsi="Arial" w:cs="Arial"/>
          <w:sz w:val="22"/>
          <w:szCs w:val="22"/>
        </w:rPr>
        <w:t>DeepVariant</w:t>
      </w:r>
      <w:proofErr w:type="spellEnd"/>
      <w:r w:rsidRPr="00424B0D">
        <w:rPr>
          <w:rFonts w:ascii="Arial" w:hAnsi="Arial" w:cs="Arial"/>
          <w:sz w:val="22"/>
          <w:szCs w:val="22"/>
        </w:rPr>
        <w:t>) and SV-calling (</w:t>
      </w:r>
      <w:proofErr w:type="spellStart"/>
      <w:r w:rsidRPr="00424B0D">
        <w:rPr>
          <w:rFonts w:ascii="Arial" w:hAnsi="Arial" w:cs="Arial"/>
          <w:sz w:val="22"/>
          <w:szCs w:val="22"/>
        </w:rPr>
        <w:t>pbsv</w:t>
      </w:r>
      <w:proofErr w:type="spellEnd"/>
      <w:r w:rsidRPr="00424B0D">
        <w:rPr>
          <w:rFonts w:ascii="Arial" w:hAnsi="Arial" w:cs="Arial"/>
          <w:sz w:val="22"/>
          <w:szCs w:val="22"/>
        </w:rPr>
        <w:t xml:space="preserve">). Finally, we routinely build pangenome reference from in-house assemblies using </w:t>
      </w:r>
      <w:proofErr w:type="spellStart"/>
      <w:r w:rsidRPr="00424B0D">
        <w:rPr>
          <w:rFonts w:ascii="Arial" w:hAnsi="Arial" w:cs="Arial"/>
          <w:sz w:val="22"/>
          <w:szCs w:val="22"/>
        </w:rPr>
        <w:t>minigraph</w:t>
      </w:r>
      <w:proofErr w:type="spellEnd"/>
      <w:r w:rsidRPr="00424B0D">
        <w:rPr>
          <w:rFonts w:ascii="Arial" w:hAnsi="Arial" w:cs="Arial"/>
          <w:sz w:val="22"/>
          <w:szCs w:val="22"/>
        </w:rPr>
        <w:t>, this integrates patient-specific assemblies with public assemblies (Human Pangenome Reference Consortium).</w:t>
      </w:r>
    </w:p>
    <w:p w14:paraId="5ECFBBA6" w14:textId="77777777" w:rsidR="00927961" w:rsidRPr="00424B0D" w:rsidRDefault="00927961" w:rsidP="00927961">
      <w:pPr>
        <w:shd w:val="clear" w:color="auto" w:fill="FFFFFF" w:themeFill="background1"/>
        <w:tabs>
          <w:tab w:val="left" w:pos="3240"/>
        </w:tabs>
        <w:spacing w:before="40"/>
        <w:rPr>
          <w:rFonts w:ascii="Arial" w:hAnsi="Arial" w:cs="Arial"/>
          <w:sz w:val="22"/>
          <w:szCs w:val="22"/>
        </w:rPr>
      </w:pPr>
    </w:p>
    <w:p w14:paraId="625EC0D2" w14:textId="77777777" w:rsidR="00927961" w:rsidRDefault="00927961" w:rsidP="00927961">
      <w:pPr>
        <w:shd w:val="clear" w:color="auto" w:fill="FFFFFF" w:themeFill="background1"/>
        <w:tabs>
          <w:tab w:val="left" w:pos="3240"/>
        </w:tabs>
        <w:spacing w:before="40"/>
        <w:rPr>
          <w:rFonts w:ascii="Arial" w:hAnsi="Arial" w:cs="Arial"/>
          <w:sz w:val="22"/>
          <w:szCs w:val="22"/>
        </w:rPr>
      </w:pPr>
      <w:r w:rsidRPr="00424B0D">
        <w:rPr>
          <w:rFonts w:ascii="Arial" w:hAnsi="Arial" w:cs="Arial"/>
          <w:sz w:val="22"/>
          <w:szCs w:val="22"/>
        </w:rPr>
        <w:t xml:space="preserve">Whole genome bisulfite sequence reads are pre-processed with </w:t>
      </w:r>
      <w:proofErr w:type="spellStart"/>
      <w:r w:rsidRPr="00424B0D">
        <w:rPr>
          <w:rFonts w:ascii="Arial" w:hAnsi="Arial" w:cs="Arial"/>
          <w:sz w:val="22"/>
          <w:szCs w:val="22"/>
        </w:rPr>
        <w:t>fastp</w:t>
      </w:r>
      <w:proofErr w:type="spellEnd"/>
      <w:r w:rsidRPr="00424B0D">
        <w:rPr>
          <w:rFonts w:ascii="Arial" w:hAnsi="Arial" w:cs="Arial"/>
          <w:sz w:val="22"/>
          <w:szCs w:val="22"/>
        </w:rPr>
        <w:t xml:space="preserve"> to trim adapter and </w:t>
      </w:r>
      <w:proofErr w:type="gramStart"/>
      <w:r w:rsidRPr="00424B0D">
        <w:rPr>
          <w:rFonts w:ascii="Arial" w:hAnsi="Arial" w:cs="Arial"/>
          <w:sz w:val="22"/>
          <w:szCs w:val="22"/>
        </w:rPr>
        <w:t>low quality</w:t>
      </w:r>
      <w:proofErr w:type="gramEnd"/>
      <w:r w:rsidRPr="00424B0D">
        <w:rPr>
          <w:rFonts w:ascii="Arial" w:hAnsi="Arial" w:cs="Arial"/>
          <w:sz w:val="22"/>
          <w:szCs w:val="22"/>
        </w:rPr>
        <w:t xml:space="preserve"> bases, then alignment is performed with Illumina’s DRAGEN aligner followed by post-processing with </w:t>
      </w:r>
      <w:proofErr w:type="spellStart"/>
      <w:r w:rsidRPr="00424B0D">
        <w:rPr>
          <w:rFonts w:ascii="Arial" w:hAnsi="Arial" w:cs="Arial"/>
          <w:sz w:val="22"/>
          <w:szCs w:val="22"/>
        </w:rPr>
        <w:t>samtools</w:t>
      </w:r>
      <w:proofErr w:type="spellEnd"/>
      <w:r w:rsidRPr="00424B0D">
        <w:rPr>
          <w:rFonts w:ascii="Arial" w:hAnsi="Arial" w:cs="Arial"/>
          <w:sz w:val="22"/>
          <w:szCs w:val="22"/>
        </w:rPr>
        <w:t xml:space="preserve">, Picard, </w:t>
      </w:r>
      <w:proofErr w:type="spellStart"/>
      <w:r w:rsidRPr="00424B0D">
        <w:rPr>
          <w:rFonts w:ascii="Arial" w:hAnsi="Arial" w:cs="Arial"/>
          <w:sz w:val="22"/>
          <w:szCs w:val="22"/>
        </w:rPr>
        <w:t>Bismark</w:t>
      </w:r>
      <w:proofErr w:type="spellEnd"/>
      <w:r w:rsidRPr="00424B0D">
        <w:rPr>
          <w:rFonts w:ascii="Arial" w:hAnsi="Arial" w:cs="Arial"/>
          <w:sz w:val="22"/>
          <w:szCs w:val="22"/>
        </w:rPr>
        <w:t xml:space="preserve"> and Bis-SNP for marking of duplicates, methylation calling and nucleotide variant calling.  Single cell RNA and ATAC-seq data are analyzed with 10X Genomics Cell Ranger v3.0.2 and Cell Ranger-ATAC v1.0.1 followed by Seurat for downstream clustering analysis.  Customized pipelines for Hi-C include </w:t>
      </w:r>
      <w:r w:rsidRPr="00424B0D">
        <w:rPr>
          <w:rFonts w:ascii="Arial" w:hAnsi="Arial" w:cs="Arial"/>
          <w:sz w:val="22"/>
          <w:szCs w:val="22"/>
        </w:rPr>
        <w:lastRenderedPageBreak/>
        <w:t xml:space="preserve">adjusted parameters of the </w:t>
      </w:r>
      <w:proofErr w:type="spellStart"/>
      <w:r w:rsidRPr="00424B0D">
        <w:rPr>
          <w:rFonts w:ascii="Arial" w:hAnsi="Arial" w:cs="Arial"/>
          <w:sz w:val="22"/>
          <w:szCs w:val="22"/>
        </w:rPr>
        <w:t>HiCUP</w:t>
      </w:r>
      <w:proofErr w:type="spellEnd"/>
      <w:r w:rsidRPr="00424B0D">
        <w:rPr>
          <w:rFonts w:ascii="Arial" w:hAnsi="Arial" w:cs="Arial"/>
          <w:sz w:val="22"/>
          <w:szCs w:val="22"/>
        </w:rPr>
        <w:t> aligner tools to allow for multiple enzymes used in Hi-C. Homer is used to generate interaction matrices and for the identification of significant interactions and Juicer</w:t>
      </w:r>
      <w:r w:rsidRPr="00424B0D">
        <w:rPr>
          <w:rFonts w:ascii="Arial" w:hAnsi="Arial" w:cs="Arial"/>
          <w:sz w:val="22"/>
          <w:szCs w:val="22"/>
          <w:vertAlign w:val="superscript"/>
        </w:rPr>
        <w:t xml:space="preserve"> </w:t>
      </w:r>
      <w:r w:rsidRPr="00424B0D">
        <w:rPr>
          <w:rFonts w:ascii="Arial" w:hAnsi="Arial" w:cs="Arial"/>
          <w:sz w:val="22"/>
          <w:szCs w:val="22"/>
        </w:rPr>
        <w:t>is used for visualization.</w:t>
      </w:r>
    </w:p>
    <w:p w14:paraId="6818193F" w14:textId="77777777" w:rsidR="00927961" w:rsidRPr="00424B0D" w:rsidRDefault="00927961" w:rsidP="00927961">
      <w:pPr>
        <w:shd w:val="clear" w:color="auto" w:fill="FFFFFF" w:themeFill="background1"/>
        <w:tabs>
          <w:tab w:val="left" w:pos="3240"/>
        </w:tabs>
        <w:spacing w:before="40"/>
        <w:rPr>
          <w:rFonts w:ascii="Arial" w:hAnsi="Arial" w:cs="Arial"/>
          <w:sz w:val="22"/>
          <w:szCs w:val="22"/>
        </w:rPr>
      </w:pPr>
    </w:p>
    <w:p w14:paraId="7F8D615F" w14:textId="0E81B206" w:rsidR="00927961" w:rsidRDefault="00927961" w:rsidP="00927961">
      <w:pPr>
        <w:shd w:val="clear" w:color="auto" w:fill="FFFFFF" w:themeFill="background1"/>
        <w:tabs>
          <w:tab w:val="left" w:pos="3240"/>
        </w:tabs>
        <w:spacing w:before="40"/>
        <w:rPr>
          <w:rFonts w:ascii="Arial" w:hAnsi="Arial" w:cs="Arial"/>
          <w:sz w:val="22"/>
          <w:szCs w:val="22"/>
        </w:rPr>
      </w:pPr>
      <w:r w:rsidRPr="00424B0D">
        <w:rPr>
          <w:rFonts w:ascii="Arial" w:hAnsi="Arial" w:cs="Arial"/>
          <w:sz w:val="22"/>
          <w:szCs w:val="22"/>
        </w:rPr>
        <w:t xml:space="preserve">Small nucleotide variants are annotated with Nirvana, which determines variant consequences on transcripts and integrates additional databases including </w:t>
      </w:r>
      <w:proofErr w:type="spellStart"/>
      <w:r w:rsidRPr="00424B0D">
        <w:rPr>
          <w:rFonts w:ascii="Arial" w:hAnsi="Arial" w:cs="Arial"/>
          <w:sz w:val="22"/>
          <w:szCs w:val="22"/>
        </w:rPr>
        <w:t>ClinVar</w:t>
      </w:r>
      <w:proofErr w:type="spellEnd"/>
      <w:r w:rsidRPr="00424B0D">
        <w:rPr>
          <w:rFonts w:ascii="Arial" w:hAnsi="Arial" w:cs="Arial"/>
          <w:sz w:val="22"/>
          <w:szCs w:val="22"/>
        </w:rPr>
        <w:t xml:space="preserve">, </w:t>
      </w:r>
      <w:proofErr w:type="spellStart"/>
      <w:r w:rsidRPr="00424B0D">
        <w:rPr>
          <w:rFonts w:ascii="Arial" w:hAnsi="Arial" w:cs="Arial"/>
          <w:sz w:val="22"/>
          <w:szCs w:val="22"/>
        </w:rPr>
        <w:t>dbSNP</w:t>
      </w:r>
      <w:proofErr w:type="spellEnd"/>
      <w:r w:rsidRPr="00424B0D">
        <w:rPr>
          <w:rFonts w:ascii="Arial" w:hAnsi="Arial" w:cs="Arial"/>
          <w:sz w:val="22"/>
          <w:szCs w:val="22"/>
        </w:rPr>
        <w:t xml:space="preserve">, </w:t>
      </w:r>
      <w:proofErr w:type="spellStart"/>
      <w:r w:rsidRPr="00424B0D">
        <w:rPr>
          <w:rFonts w:ascii="Arial" w:hAnsi="Arial" w:cs="Arial"/>
          <w:sz w:val="22"/>
          <w:szCs w:val="22"/>
        </w:rPr>
        <w:t>gnomAD</w:t>
      </w:r>
      <w:proofErr w:type="spellEnd"/>
      <w:r w:rsidRPr="00424B0D">
        <w:rPr>
          <w:rFonts w:ascii="Arial" w:hAnsi="Arial" w:cs="Arial"/>
          <w:sz w:val="22"/>
          <w:szCs w:val="22"/>
        </w:rPr>
        <w:t xml:space="preserve">, GERP, </w:t>
      </w:r>
      <w:proofErr w:type="spellStart"/>
      <w:r w:rsidRPr="00424B0D">
        <w:rPr>
          <w:rFonts w:ascii="Arial" w:hAnsi="Arial" w:cs="Arial"/>
          <w:sz w:val="22"/>
          <w:szCs w:val="22"/>
        </w:rPr>
        <w:t>PhyloP</w:t>
      </w:r>
      <w:proofErr w:type="spellEnd"/>
      <w:r w:rsidRPr="00424B0D">
        <w:rPr>
          <w:rFonts w:ascii="Arial" w:hAnsi="Arial" w:cs="Arial"/>
          <w:sz w:val="22"/>
          <w:szCs w:val="22"/>
        </w:rPr>
        <w:t xml:space="preserve">, OMIM, REVEL and Splice AI. Human Phenotype Ontology (HPO) driven disease variant identification is achieved using both open-source (AMELIE and </w:t>
      </w:r>
      <w:proofErr w:type="spellStart"/>
      <w:r w:rsidRPr="00424B0D">
        <w:rPr>
          <w:rFonts w:ascii="Arial" w:hAnsi="Arial" w:cs="Arial"/>
          <w:sz w:val="22"/>
          <w:szCs w:val="22"/>
        </w:rPr>
        <w:t>Exomiser</w:t>
      </w:r>
      <w:proofErr w:type="spellEnd"/>
      <w:r w:rsidRPr="00424B0D">
        <w:rPr>
          <w:rFonts w:ascii="Arial" w:hAnsi="Arial" w:cs="Arial"/>
          <w:sz w:val="22"/>
          <w:szCs w:val="22"/>
        </w:rPr>
        <w:t>) machine-learning (ML) as well as commercial artificial intelligence (AI) tools (</w:t>
      </w:r>
      <w:proofErr w:type="spellStart"/>
      <w:r w:rsidRPr="00424B0D">
        <w:rPr>
          <w:rFonts w:ascii="Arial" w:hAnsi="Arial" w:cs="Arial"/>
          <w:sz w:val="22"/>
          <w:szCs w:val="22"/>
        </w:rPr>
        <w:t>Emedgene</w:t>
      </w:r>
      <w:proofErr w:type="spellEnd"/>
      <w:r w:rsidRPr="00424B0D">
        <w:rPr>
          <w:rFonts w:ascii="Arial" w:hAnsi="Arial" w:cs="Arial"/>
          <w:sz w:val="22"/>
          <w:szCs w:val="22"/>
        </w:rPr>
        <w:t xml:space="preserve"> from Illumina).</w:t>
      </w:r>
      <w:r>
        <w:rPr>
          <w:rFonts w:ascii="Arial" w:hAnsi="Arial" w:cs="Arial"/>
          <w:sz w:val="22"/>
          <w:szCs w:val="22"/>
        </w:rPr>
        <w:t xml:space="preserve"> </w:t>
      </w:r>
      <w:proofErr w:type="spellStart"/>
      <w:r>
        <w:rPr>
          <w:rFonts w:ascii="Arial" w:hAnsi="Arial" w:cs="Arial"/>
          <w:sz w:val="22"/>
          <w:szCs w:val="22"/>
        </w:rPr>
        <w:t>Emedgene</w:t>
      </w:r>
      <w:proofErr w:type="spellEnd"/>
      <w:r>
        <w:rPr>
          <w:rFonts w:ascii="Arial" w:hAnsi="Arial" w:cs="Arial"/>
          <w:sz w:val="22"/>
          <w:szCs w:val="22"/>
        </w:rPr>
        <w:t xml:space="preserve"> v31 </w:t>
      </w:r>
      <w:proofErr w:type="spellStart"/>
      <w:r>
        <w:rPr>
          <w:rFonts w:ascii="Arial" w:hAnsi="Arial" w:cs="Arial"/>
          <w:sz w:val="22"/>
          <w:szCs w:val="22"/>
        </w:rPr>
        <w:t>intergrates</w:t>
      </w:r>
      <w:proofErr w:type="spellEnd"/>
      <w:r>
        <w:rPr>
          <w:rFonts w:ascii="Arial" w:hAnsi="Arial" w:cs="Arial"/>
          <w:sz w:val="22"/>
          <w:szCs w:val="22"/>
        </w:rPr>
        <w:t xml:space="preserve"> both SNV and SV variants in research human genomes. In addition, advanced SV and SNV ML capability is provided by Via7.0 (</w:t>
      </w:r>
      <w:proofErr w:type="spellStart"/>
      <w:r>
        <w:rPr>
          <w:rFonts w:ascii="Arial" w:hAnsi="Arial" w:cs="Arial"/>
          <w:sz w:val="22"/>
          <w:szCs w:val="22"/>
        </w:rPr>
        <w:t>Bionano</w:t>
      </w:r>
      <w:proofErr w:type="spellEnd"/>
      <w:r>
        <w:rPr>
          <w:rFonts w:ascii="Arial" w:hAnsi="Arial" w:cs="Arial"/>
          <w:sz w:val="22"/>
          <w:szCs w:val="22"/>
        </w:rPr>
        <w:t>), which is the primary tertiary analyses tool for clinical 5mC-HiFi-GS.</w:t>
      </w:r>
      <w:r w:rsidRPr="00424B0D">
        <w:rPr>
          <w:rFonts w:ascii="Arial" w:hAnsi="Arial" w:cs="Arial"/>
          <w:sz w:val="22"/>
          <w:szCs w:val="22"/>
        </w:rPr>
        <w:t xml:space="preserve"> </w:t>
      </w:r>
      <w:r>
        <w:rPr>
          <w:rFonts w:ascii="Arial" w:hAnsi="Arial" w:cs="Arial"/>
          <w:sz w:val="22"/>
          <w:szCs w:val="22"/>
        </w:rPr>
        <w:t>Variant calls and structured phenotypic information are migrated to Zetta Genomics variant warehousing solution 01/24 allowing analyses across over 24,000 individuals sequenced at GMC to date.</w:t>
      </w:r>
    </w:p>
    <w:p w14:paraId="6DDD7165" w14:textId="77777777" w:rsidR="00927961" w:rsidRPr="00424B0D" w:rsidRDefault="00927961" w:rsidP="00927961">
      <w:pPr>
        <w:shd w:val="clear" w:color="auto" w:fill="FFFFFF" w:themeFill="background1"/>
        <w:tabs>
          <w:tab w:val="left" w:pos="3240"/>
        </w:tabs>
        <w:spacing w:before="40"/>
        <w:rPr>
          <w:rFonts w:ascii="Arial" w:hAnsi="Arial" w:cs="Arial"/>
          <w:sz w:val="22"/>
          <w:szCs w:val="22"/>
        </w:rPr>
      </w:pPr>
    </w:p>
    <w:p w14:paraId="63542181" w14:textId="77777777" w:rsidR="00927961" w:rsidRDefault="00927961" w:rsidP="00927961">
      <w:pPr>
        <w:shd w:val="clear" w:color="auto" w:fill="FFFFFF" w:themeFill="background1"/>
        <w:tabs>
          <w:tab w:val="left" w:pos="3240"/>
        </w:tabs>
        <w:spacing w:before="40"/>
        <w:rPr>
          <w:rFonts w:ascii="Arial" w:hAnsi="Arial" w:cs="Arial"/>
          <w:sz w:val="22"/>
          <w:szCs w:val="22"/>
        </w:rPr>
      </w:pPr>
      <w:r w:rsidRPr="00424B0D">
        <w:rPr>
          <w:rFonts w:ascii="Arial" w:hAnsi="Arial" w:cs="Arial"/>
          <w:sz w:val="22"/>
          <w:szCs w:val="22"/>
        </w:rPr>
        <w:t xml:space="preserve">Microarray genotype calls are converted to a VCF for downstream comparisons using </w:t>
      </w:r>
      <w:proofErr w:type="spellStart"/>
      <w:r w:rsidRPr="00424B0D">
        <w:rPr>
          <w:rFonts w:ascii="Arial" w:hAnsi="Arial" w:cs="Arial"/>
          <w:sz w:val="22"/>
          <w:szCs w:val="22"/>
        </w:rPr>
        <w:t>GenomeStudio</w:t>
      </w:r>
      <w:proofErr w:type="spellEnd"/>
      <w:r w:rsidRPr="00424B0D">
        <w:rPr>
          <w:rFonts w:ascii="Arial" w:hAnsi="Arial" w:cs="Arial"/>
          <w:sz w:val="22"/>
          <w:szCs w:val="22"/>
        </w:rPr>
        <w:t xml:space="preserve"> and a custom script that maps to GRCh37 using the reference panel HRC1.1. These files are subsequently converted to hg38 using the </w:t>
      </w:r>
      <w:proofErr w:type="spellStart"/>
      <w:r w:rsidRPr="00424B0D">
        <w:rPr>
          <w:rFonts w:ascii="Arial" w:hAnsi="Arial" w:cs="Arial"/>
          <w:sz w:val="22"/>
          <w:szCs w:val="22"/>
        </w:rPr>
        <w:t>liftover</w:t>
      </w:r>
      <w:proofErr w:type="spellEnd"/>
      <w:r w:rsidRPr="00424B0D">
        <w:rPr>
          <w:rFonts w:ascii="Arial" w:hAnsi="Arial" w:cs="Arial"/>
          <w:sz w:val="22"/>
          <w:szCs w:val="22"/>
        </w:rPr>
        <w:t xml:space="preserve"> tool </w:t>
      </w:r>
      <w:proofErr w:type="spellStart"/>
      <w:r w:rsidRPr="00424B0D">
        <w:rPr>
          <w:rFonts w:ascii="Arial" w:hAnsi="Arial" w:cs="Arial"/>
          <w:sz w:val="22"/>
          <w:szCs w:val="22"/>
        </w:rPr>
        <w:t>Crossmap</w:t>
      </w:r>
      <w:proofErr w:type="spellEnd"/>
      <w:r w:rsidRPr="00424B0D">
        <w:rPr>
          <w:rFonts w:ascii="Arial" w:hAnsi="Arial" w:cs="Arial"/>
          <w:sz w:val="22"/>
          <w:szCs w:val="22"/>
        </w:rPr>
        <w:t> 0.3.6.</w:t>
      </w:r>
    </w:p>
    <w:p w14:paraId="2D964EC5" w14:textId="77777777" w:rsidR="00927961" w:rsidRPr="00424B0D" w:rsidRDefault="00927961" w:rsidP="00927961">
      <w:pPr>
        <w:shd w:val="clear" w:color="auto" w:fill="FFFFFF" w:themeFill="background1"/>
        <w:tabs>
          <w:tab w:val="left" w:pos="3240"/>
        </w:tabs>
        <w:spacing w:before="40"/>
        <w:rPr>
          <w:rFonts w:ascii="Arial" w:hAnsi="Arial" w:cs="Arial"/>
          <w:sz w:val="22"/>
          <w:szCs w:val="22"/>
        </w:rPr>
      </w:pPr>
    </w:p>
    <w:p w14:paraId="7A58AD89" w14:textId="77777777" w:rsidR="00927961" w:rsidRDefault="00927961" w:rsidP="00927961">
      <w:pPr>
        <w:shd w:val="clear" w:color="auto" w:fill="FFFFFF" w:themeFill="background1"/>
        <w:tabs>
          <w:tab w:val="left" w:pos="3240"/>
        </w:tabs>
        <w:spacing w:before="40"/>
        <w:rPr>
          <w:rFonts w:ascii="Arial" w:hAnsi="Arial" w:cs="Arial"/>
          <w:sz w:val="22"/>
          <w:szCs w:val="22"/>
        </w:rPr>
      </w:pPr>
      <w:r w:rsidRPr="00424B0D">
        <w:rPr>
          <w:rFonts w:ascii="Arial" w:hAnsi="Arial" w:cs="Arial"/>
          <w:sz w:val="22"/>
          <w:szCs w:val="22"/>
        </w:rPr>
        <w:t xml:space="preserve">Sequencing lab data, including samples, libraries, multiplexed pools, sequencing </w:t>
      </w:r>
      <w:proofErr w:type="gramStart"/>
      <w:r w:rsidRPr="00424B0D">
        <w:rPr>
          <w:rFonts w:ascii="Arial" w:hAnsi="Arial" w:cs="Arial"/>
          <w:sz w:val="22"/>
          <w:szCs w:val="22"/>
        </w:rPr>
        <w:t>runs</w:t>
      </w:r>
      <w:proofErr w:type="gramEnd"/>
      <w:r w:rsidRPr="00424B0D">
        <w:rPr>
          <w:rFonts w:ascii="Arial" w:hAnsi="Arial" w:cs="Arial"/>
          <w:sz w:val="22"/>
          <w:szCs w:val="22"/>
        </w:rPr>
        <w:t xml:space="preserve"> and output metrics are managed by custom LIMS software. LIMS restricts application permissions through defined user roles and facilitates the automation of sequence run post-processing including base calling, demultiplexing and deployment of data to the sequence archive. LIMS includes an analysis workflow module for the automated execution of analysis pipelines on the compute cluster. The data management module of LIMS records analyses performed on samples including analysis software used, date of analysis, type of sequencing and location of analysis outputs (e.g., BAM, VCF and expression quantification files).</w:t>
      </w:r>
    </w:p>
    <w:p w14:paraId="37065608" w14:textId="77777777" w:rsidR="00927961" w:rsidRPr="00424B0D" w:rsidRDefault="00927961" w:rsidP="00927961">
      <w:pPr>
        <w:shd w:val="clear" w:color="auto" w:fill="FFFFFF" w:themeFill="background1"/>
        <w:tabs>
          <w:tab w:val="left" w:pos="3240"/>
        </w:tabs>
        <w:spacing w:before="40"/>
        <w:rPr>
          <w:rFonts w:ascii="Arial" w:hAnsi="Arial" w:cs="Arial"/>
          <w:sz w:val="22"/>
          <w:szCs w:val="22"/>
        </w:rPr>
      </w:pPr>
    </w:p>
    <w:p w14:paraId="091F5517" w14:textId="77777777" w:rsidR="00927961" w:rsidRPr="002F1305" w:rsidRDefault="00927961" w:rsidP="00927961">
      <w:pPr>
        <w:shd w:val="clear" w:color="auto" w:fill="FFFFFF" w:themeFill="background1"/>
        <w:tabs>
          <w:tab w:val="left" w:pos="3240"/>
        </w:tabs>
        <w:spacing w:before="40"/>
        <w:rPr>
          <w:rFonts w:ascii="Arial" w:hAnsi="Arial" w:cs="Arial"/>
          <w:b/>
          <w:bCs/>
          <w:color w:val="000000"/>
          <w:sz w:val="22"/>
          <w:szCs w:val="22"/>
        </w:rPr>
      </w:pPr>
      <w:r w:rsidRPr="002F1305">
        <w:rPr>
          <w:rFonts w:ascii="Arial" w:hAnsi="Arial" w:cs="Arial"/>
          <w:b/>
          <w:bCs/>
          <w:color w:val="000000"/>
          <w:sz w:val="22"/>
          <w:szCs w:val="22"/>
          <w:shd w:val="clear" w:color="auto" w:fill="FFFFFF" w:themeFill="background1"/>
        </w:rPr>
        <w:t>CMKC Genomic Answers for Kids</w:t>
      </w:r>
    </w:p>
    <w:p w14:paraId="12100137" w14:textId="1A566C07" w:rsidR="00927961" w:rsidRPr="00424B0D" w:rsidRDefault="00927961" w:rsidP="00927961">
      <w:pPr>
        <w:shd w:val="clear" w:color="auto" w:fill="FFFFFF" w:themeFill="background1"/>
        <w:tabs>
          <w:tab w:val="left" w:pos="1440"/>
        </w:tabs>
        <w:spacing w:after="120"/>
        <w:rPr>
          <w:rFonts w:ascii="Arial" w:hAnsi="Arial" w:cs="Arial"/>
          <w:color w:val="000000"/>
          <w:sz w:val="22"/>
          <w:szCs w:val="22"/>
          <w:shd w:val="clear" w:color="auto" w:fill="FFFFFF" w:themeFill="background1"/>
        </w:rPr>
      </w:pPr>
      <w:r w:rsidRPr="00424B0D">
        <w:rPr>
          <w:rFonts w:ascii="Arial" w:hAnsi="Arial" w:cs="Arial"/>
          <w:color w:val="000000"/>
          <w:sz w:val="22"/>
          <w:szCs w:val="22"/>
          <w:shd w:val="clear" w:color="auto" w:fill="FFFFFF" w:themeFill="background1"/>
        </w:rPr>
        <w:t>Genomic Answers for Kids (GA4K) is a foundational program of the Children’s Mercy Research Institute (CMRI) at CMKC. It relies on the state-of-the-art Genomic Medicine Center (GMC/CMKC) technology and computational platform (described above). Initiated in 7/2019 it builds on GMC/CMKC research and clinical sequencing on pediatric rare disease in partnership with the CMKC Clinical Divisions to advance access and molecular diagnosis rates of the often-devastating conditions of childhood known to lead to long (average 5 years in the US) diagnostic “odysseys”. It is estimated that 1/30 children suffer from rare disease and only 30-35% are currently diagnosed with diagnostic precision hampering mechanistic understanding of pathology and development of precision therapies. Overall goal over seven years (by 202</w:t>
      </w:r>
      <w:r>
        <w:rPr>
          <w:rFonts w:ascii="Arial" w:hAnsi="Arial" w:cs="Arial"/>
          <w:color w:val="000000"/>
          <w:sz w:val="22"/>
          <w:szCs w:val="22"/>
          <w:shd w:val="clear" w:color="auto" w:fill="FFFFFF" w:themeFill="background1"/>
        </w:rPr>
        <w:t>7</w:t>
      </w:r>
      <w:r w:rsidRPr="00424B0D">
        <w:rPr>
          <w:rFonts w:ascii="Arial" w:hAnsi="Arial" w:cs="Arial"/>
          <w:color w:val="000000"/>
          <w:sz w:val="22"/>
          <w:szCs w:val="22"/>
          <w:shd w:val="clear" w:color="auto" w:fill="FFFFFF" w:themeFill="background1"/>
        </w:rPr>
        <w:t xml:space="preserve">) is to characterize genomes of 30,000 rare disease families.  Beyond </w:t>
      </w:r>
      <w:r>
        <w:rPr>
          <w:rFonts w:ascii="Arial" w:hAnsi="Arial" w:cs="Arial"/>
          <w:color w:val="000000"/>
          <w:sz w:val="22"/>
          <w:szCs w:val="22"/>
          <w:shd w:val="clear" w:color="auto" w:fill="FFFFFF" w:themeFill="background1"/>
        </w:rPr>
        <w:t>23</w:t>
      </w:r>
      <w:r w:rsidRPr="00424B0D">
        <w:rPr>
          <w:rFonts w:ascii="Arial" w:hAnsi="Arial" w:cs="Arial"/>
          <w:color w:val="000000"/>
          <w:sz w:val="22"/>
          <w:szCs w:val="22"/>
          <w:shd w:val="clear" w:color="auto" w:fill="FFFFFF" w:themeFill="background1"/>
        </w:rPr>
        <w:t xml:space="preserve"> clinical divisions nominating families into the study from CMKC the GA4K program has participation from growing number of regional, </w:t>
      </w:r>
      <w:proofErr w:type="gramStart"/>
      <w:r w:rsidRPr="00424B0D">
        <w:rPr>
          <w:rFonts w:ascii="Arial" w:hAnsi="Arial" w:cs="Arial"/>
          <w:color w:val="000000"/>
          <w:sz w:val="22"/>
          <w:szCs w:val="22"/>
          <w:shd w:val="clear" w:color="auto" w:fill="FFFFFF" w:themeFill="background1"/>
        </w:rPr>
        <w:t>national</w:t>
      </w:r>
      <w:proofErr w:type="gramEnd"/>
      <w:r w:rsidRPr="00424B0D">
        <w:rPr>
          <w:rFonts w:ascii="Arial" w:hAnsi="Arial" w:cs="Arial"/>
          <w:color w:val="000000"/>
          <w:sz w:val="22"/>
          <w:szCs w:val="22"/>
          <w:shd w:val="clear" w:color="auto" w:fill="FFFFFF" w:themeFill="background1"/>
        </w:rPr>
        <w:t xml:space="preserve"> and international academic medical centers have contributed patient to the study including KUMC, University of Arkansas, University of Oklahoma, University of Nebraska, University of Southern Florida, </w:t>
      </w:r>
      <w:r>
        <w:rPr>
          <w:rFonts w:ascii="Arial" w:hAnsi="Arial" w:cs="Arial"/>
          <w:color w:val="000000"/>
          <w:sz w:val="22"/>
          <w:szCs w:val="22"/>
          <w:shd w:val="clear" w:color="auto" w:fill="FFFFFF" w:themeFill="background1"/>
        </w:rPr>
        <w:t xml:space="preserve">University of Utah, </w:t>
      </w:r>
      <w:r w:rsidRPr="00424B0D">
        <w:rPr>
          <w:rFonts w:ascii="Arial" w:hAnsi="Arial" w:cs="Arial"/>
          <w:color w:val="000000"/>
          <w:sz w:val="22"/>
          <w:szCs w:val="22"/>
          <w:shd w:val="clear" w:color="auto" w:fill="FFFFFF" w:themeFill="background1"/>
        </w:rPr>
        <w:t>New York University,</w:t>
      </w:r>
      <w:r>
        <w:rPr>
          <w:rFonts w:ascii="Arial" w:hAnsi="Arial" w:cs="Arial"/>
          <w:color w:val="000000"/>
          <w:sz w:val="22"/>
          <w:szCs w:val="22"/>
          <w:shd w:val="clear" w:color="auto" w:fill="FFFFFF" w:themeFill="background1"/>
        </w:rPr>
        <w:t xml:space="preserve"> Indiana University,</w:t>
      </w:r>
      <w:r w:rsidRPr="00424B0D">
        <w:rPr>
          <w:rFonts w:ascii="Arial" w:hAnsi="Arial" w:cs="Arial"/>
          <w:color w:val="000000"/>
          <w:sz w:val="22"/>
          <w:szCs w:val="22"/>
          <w:shd w:val="clear" w:color="auto" w:fill="FFFFFF" w:themeFill="background1"/>
        </w:rPr>
        <w:t xml:space="preserve"> Montreal University (Canada) to name a few. Unique features of the program include return-of-results (ROR) to patients who reach clinical diagnostic findings through advanced seq. approaches utilized in the program including 3</w:t>
      </w:r>
      <w:r w:rsidRPr="00424B0D">
        <w:rPr>
          <w:rFonts w:ascii="Arial" w:hAnsi="Arial" w:cs="Arial"/>
          <w:color w:val="000000"/>
          <w:sz w:val="22"/>
          <w:szCs w:val="22"/>
          <w:shd w:val="clear" w:color="auto" w:fill="FFFFFF" w:themeFill="background1"/>
          <w:vertAlign w:val="superscript"/>
        </w:rPr>
        <w:t>rd</w:t>
      </w:r>
      <w:r w:rsidRPr="00424B0D">
        <w:rPr>
          <w:rFonts w:ascii="Arial" w:hAnsi="Arial" w:cs="Arial"/>
          <w:color w:val="000000"/>
          <w:sz w:val="22"/>
          <w:szCs w:val="22"/>
          <w:shd w:val="clear" w:color="auto" w:fill="FFFFFF" w:themeFill="background1"/>
        </w:rPr>
        <w:t xml:space="preserve"> generation long-read sequencing on </w:t>
      </w:r>
      <w:proofErr w:type="spellStart"/>
      <w:r>
        <w:rPr>
          <w:rFonts w:ascii="Arial" w:hAnsi="Arial" w:cs="Arial"/>
          <w:color w:val="000000"/>
          <w:sz w:val="22"/>
          <w:szCs w:val="22"/>
          <w:shd w:val="clear" w:color="auto" w:fill="FFFFFF" w:themeFill="background1"/>
        </w:rPr>
        <w:t>Revio</w:t>
      </w:r>
      <w:proofErr w:type="spellEnd"/>
      <w:r>
        <w:rPr>
          <w:rFonts w:ascii="Arial" w:hAnsi="Arial" w:cs="Arial"/>
          <w:color w:val="000000"/>
          <w:sz w:val="22"/>
          <w:szCs w:val="22"/>
          <w:shd w:val="clear" w:color="auto" w:fill="FFFFFF" w:themeFill="background1"/>
        </w:rPr>
        <w:t>/</w:t>
      </w:r>
      <w:r w:rsidRPr="00424B0D">
        <w:rPr>
          <w:rFonts w:ascii="Arial" w:hAnsi="Arial" w:cs="Arial"/>
          <w:color w:val="000000"/>
          <w:sz w:val="22"/>
          <w:szCs w:val="22"/>
          <w:shd w:val="clear" w:color="auto" w:fill="FFFFFF" w:themeFill="background1"/>
        </w:rPr>
        <w:t xml:space="preserve">Sequel </w:t>
      </w:r>
      <w:proofErr w:type="spellStart"/>
      <w:r w:rsidRPr="00424B0D">
        <w:rPr>
          <w:rFonts w:ascii="Arial" w:hAnsi="Arial" w:cs="Arial"/>
          <w:color w:val="000000"/>
          <w:sz w:val="22"/>
          <w:szCs w:val="22"/>
          <w:shd w:val="clear" w:color="auto" w:fill="FFFFFF" w:themeFill="background1"/>
        </w:rPr>
        <w:t>IIe</w:t>
      </w:r>
      <w:proofErr w:type="spellEnd"/>
      <w:r w:rsidRPr="00424B0D">
        <w:rPr>
          <w:rFonts w:ascii="Arial" w:hAnsi="Arial" w:cs="Arial"/>
          <w:color w:val="000000"/>
          <w:sz w:val="22"/>
          <w:szCs w:val="22"/>
          <w:shd w:val="clear" w:color="auto" w:fill="FFFFFF" w:themeFill="background1"/>
        </w:rPr>
        <w:t xml:space="preserve"> platform</w:t>
      </w:r>
      <w:r>
        <w:rPr>
          <w:rFonts w:ascii="Arial" w:hAnsi="Arial" w:cs="Arial"/>
          <w:color w:val="000000"/>
          <w:sz w:val="22"/>
          <w:szCs w:val="22"/>
          <w:shd w:val="clear" w:color="auto" w:fill="FFFFFF" w:themeFill="background1"/>
        </w:rPr>
        <w:t>s</w:t>
      </w:r>
      <w:r w:rsidRPr="00424B0D">
        <w:rPr>
          <w:rFonts w:ascii="Arial" w:hAnsi="Arial" w:cs="Arial"/>
          <w:color w:val="000000"/>
          <w:sz w:val="22"/>
          <w:szCs w:val="22"/>
          <w:shd w:val="clear" w:color="auto" w:fill="FFFFFF" w:themeFill="background1"/>
        </w:rPr>
        <w:t xml:space="preserve">, single-cell sequencing on 10X Genomics system as well as massively parallel </w:t>
      </w:r>
      <w:r w:rsidRPr="00424B0D">
        <w:rPr>
          <w:rFonts w:ascii="Arial" w:hAnsi="Arial" w:cs="Arial"/>
          <w:i/>
          <w:iCs/>
          <w:color w:val="000000"/>
          <w:sz w:val="22"/>
          <w:szCs w:val="22"/>
          <w:shd w:val="clear" w:color="auto" w:fill="FFFFFF" w:themeFill="background1"/>
        </w:rPr>
        <w:t>in vitro</w:t>
      </w:r>
      <w:r w:rsidRPr="00424B0D">
        <w:rPr>
          <w:rFonts w:ascii="Arial" w:hAnsi="Arial" w:cs="Arial"/>
          <w:color w:val="000000"/>
          <w:sz w:val="22"/>
          <w:szCs w:val="22"/>
          <w:shd w:val="clear" w:color="auto" w:fill="FFFFFF" w:themeFill="background1"/>
        </w:rPr>
        <w:t xml:space="preserve"> screening assays (MPRA, CRISPR). In addition, the program has established progressive data sharing platform on </w:t>
      </w:r>
      <w:proofErr w:type="spellStart"/>
      <w:r w:rsidRPr="00424B0D">
        <w:rPr>
          <w:rFonts w:ascii="Arial" w:hAnsi="Arial" w:cs="Arial"/>
          <w:color w:val="000000"/>
          <w:sz w:val="22"/>
          <w:szCs w:val="22"/>
          <w:shd w:val="clear" w:color="auto" w:fill="FFFFFF" w:themeFill="background1"/>
        </w:rPr>
        <w:t>PhenoTips</w:t>
      </w:r>
      <w:proofErr w:type="spellEnd"/>
      <w:r w:rsidRPr="00424B0D">
        <w:rPr>
          <w:rFonts w:ascii="Arial" w:hAnsi="Arial" w:cs="Arial"/>
          <w:color w:val="000000"/>
          <w:sz w:val="22"/>
          <w:szCs w:val="22"/>
          <w:shd w:val="clear" w:color="auto" w:fill="FFFFFF" w:themeFill="background1"/>
        </w:rPr>
        <w:t xml:space="preserve"> database including patient genetic variation and structured phenotypes, with registered access investigators in the US and Canada can query our patient data to find matches to their own cases. The data sharing is crucial component to increase diagnostic rates and the platform pioneered by GA4K is now being expanded in collaboration with Canadian rare disease efforts (Care for Rare, ran from Sick Kids Hospital and CHEO in Toronto and Ottawa, respectively) to generate a federated network of rare pediatric cohorts with “1-sided” data sharing (browsable variants, </w:t>
      </w:r>
      <w:proofErr w:type="gramStart"/>
      <w:r w:rsidRPr="00424B0D">
        <w:rPr>
          <w:rFonts w:ascii="Arial" w:hAnsi="Arial" w:cs="Arial"/>
          <w:color w:val="000000"/>
          <w:sz w:val="22"/>
          <w:szCs w:val="22"/>
          <w:shd w:val="clear" w:color="auto" w:fill="FFFFFF" w:themeFill="background1"/>
        </w:rPr>
        <w:t>pedigrees</w:t>
      </w:r>
      <w:proofErr w:type="gramEnd"/>
      <w:r w:rsidRPr="00424B0D">
        <w:rPr>
          <w:rFonts w:ascii="Arial" w:hAnsi="Arial" w:cs="Arial"/>
          <w:color w:val="000000"/>
          <w:sz w:val="22"/>
          <w:szCs w:val="22"/>
          <w:shd w:val="clear" w:color="auto" w:fill="FFFFFF" w:themeFill="background1"/>
        </w:rPr>
        <w:t xml:space="preserve"> and phenotypes). To date program has collected </w:t>
      </w:r>
      <w:r>
        <w:rPr>
          <w:rFonts w:ascii="Arial" w:hAnsi="Arial" w:cs="Arial"/>
          <w:color w:val="000000"/>
          <w:sz w:val="22"/>
          <w:szCs w:val="22"/>
          <w:shd w:val="clear" w:color="auto" w:fill="FFFFFF" w:themeFill="background1"/>
        </w:rPr>
        <w:t>7</w:t>
      </w:r>
      <w:r w:rsidRPr="00424B0D">
        <w:rPr>
          <w:rFonts w:ascii="Arial" w:hAnsi="Arial" w:cs="Arial"/>
          <w:color w:val="000000"/>
          <w:sz w:val="22"/>
          <w:szCs w:val="22"/>
          <w:shd w:val="clear" w:color="auto" w:fill="FFFFFF" w:themeFill="background1"/>
        </w:rPr>
        <w:t>,500 patients and over 1</w:t>
      </w:r>
      <w:r>
        <w:rPr>
          <w:rFonts w:ascii="Arial" w:hAnsi="Arial" w:cs="Arial"/>
          <w:color w:val="000000"/>
          <w:sz w:val="22"/>
          <w:szCs w:val="22"/>
          <w:shd w:val="clear" w:color="auto" w:fill="FFFFFF" w:themeFill="background1"/>
        </w:rPr>
        <w:t>4</w:t>
      </w:r>
      <w:r w:rsidRPr="00424B0D">
        <w:rPr>
          <w:rFonts w:ascii="Arial" w:hAnsi="Arial" w:cs="Arial"/>
          <w:color w:val="000000"/>
          <w:sz w:val="22"/>
          <w:szCs w:val="22"/>
          <w:shd w:val="clear" w:color="auto" w:fill="FFFFFF" w:themeFill="background1"/>
        </w:rPr>
        <w:t xml:space="preserve">,000 samples from families and </w:t>
      </w:r>
      <w:r>
        <w:rPr>
          <w:rFonts w:ascii="Arial" w:hAnsi="Arial" w:cs="Arial"/>
          <w:color w:val="000000"/>
          <w:sz w:val="22"/>
          <w:szCs w:val="22"/>
          <w:shd w:val="clear" w:color="auto" w:fill="FFFFFF" w:themeFill="background1"/>
        </w:rPr>
        <w:t>current</w:t>
      </w:r>
      <w:r w:rsidRPr="00424B0D">
        <w:rPr>
          <w:rFonts w:ascii="Arial" w:hAnsi="Arial" w:cs="Arial"/>
          <w:color w:val="000000"/>
          <w:sz w:val="22"/>
          <w:szCs w:val="22"/>
          <w:shd w:val="clear" w:color="auto" w:fill="FFFFFF" w:themeFill="background1"/>
        </w:rPr>
        <w:t xml:space="preserve"> results </w:t>
      </w:r>
      <w:r w:rsidR="00D2703C" w:rsidRPr="00424B0D">
        <w:rPr>
          <w:rFonts w:ascii="Arial" w:hAnsi="Arial" w:cs="Arial"/>
          <w:color w:val="000000"/>
          <w:sz w:val="22"/>
          <w:szCs w:val="22"/>
          <w:shd w:val="clear" w:color="auto" w:fill="FFFFFF" w:themeFill="background1"/>
        </w:rPr>
        <w:t>from include</w:t>
      </w:r>
      <w:r w:rsidRPr="00424B0D">
        <w:rPr>
          <w:rFonts w:ascii="Arial" w:hAnsi="Arial" w:cs="Arial"/>
          <w:color w:val="000000"/>
          <w:sz w:val="22"/>
          <w:szCs w:val="22"/>
          <w:shd w:val="clear" w:color="auto" w:fill="FFFFFF" w:themeFill="background1"/>
        </w:rPr>
        <w:t xml:space="preserve"> 1,</w:t>
      </w:r>
      <w:r>
        <w:rPr>
          <w:rFonts w:ascii="Arial" w:hAnsi="Arial" w:cs="Arial"/>
          <w:color w:val="000000"/>
          <w:sz w:val="22"/>
          <w:szCs w:val="22"/>
          <w:shd w:val="clear" w:color="auto" w:fill="FFFFFF" w:themeFill="background1"/>
        </w:rPr>
        <w:t>700</w:t>
      </w:r>
      <w:r w:rsidRPr="00424B0D">
        <w:rPr>
          <w:rFonts w:ascii="Arial" w:hAnsi="Arial" w:cs="Arial"/>
          <w:color w:val="000000"/>
          <w:sz w:val="22"/>
          <w:szCs w:val="22"/>
          <w:shd w:val="clear" w:color="auto" w:fill="FFFFFF" w:themeFill="background1"/>
        </w:rPr>
        <w:t xml:space="preserve"> molecular diagnoses</w:t>
      </w:r>
      <w:r>
        <w:rPr>
          <w:rFonts w:ascii="Arial" w:hAnsi="Arial" w:cs="Arial"/>
          <w:color w:val="000000"/>
          <w:sz w:val="22"/>
          <w:szCs w:val="22"/>
          <w:shd w:val="clear" w:color="auto" w:fill="FFFFFF" w:themeFill="background1"/>
        </w:rPr>
        <w:t xml:space="preserve"> returned clinically to families</w:t>
      </w:r>
      <w:r w:rsidRPr="00424B0D">
        <w:rPr>
          <w:rFonts w:ascii="Arial" w:hAnsi="Arial" w:cs="Arial"/>
          <w:color w:val="000000"/>
          <w:sz w:val="22"/>
          <w:szCs w:val="22"/>
          <w:shd w:val="clear" w:color="auto" w:fill="FFFFFF" w:themeFill="background1"/>
        </w:rPr>
        <w:t>. Among the datasets produced from GA4K are the world’s largest collection of patient derived HiFi-GS consisting of 1,</w:t>
      </w:r>
      <w:r>
        <w:rPr>
          <w:rFonts w:ascii="Arial" w:hAnsi="Arial" w:cs="Arial"/>
          <w:color w:val="000000"/>
          <w:sz w:val="22"/>
          <w:szCs w:val="22"/>
          <w:shd w:val="clear" w:color="auto" w:fill="FFFFFF" w:themeFill="background1"/>
        </w:rPr>
        <w:t>7</w:t>
      </w:r>
      <w:r w:rsidRPr="00424B0D">
        <w:rPr>
          <w:rFonts w:ascii="Arial" w:hAnsi="Arial" w:cs="Arial"/>
          <w:color w:val="000000"/>
          <w:sz w:val="22"/>
          <w:szCs w:val="22"/>
          <w:shd w:val="clear" w:color="auto" w:fill="FFFFFF" w:themeFill="background1"/>
        </w:rPr>
        <w:t xml:space="preserve">00 patients and first-order family members and including </w:t>
      </w:r>
      <w:r>
        <w:rPr>
          <w:rFonts w:ascii="Arial" w:hAnsi="Arial" w:cs="Arial"/>
          <w:color w:val="000000"/>
          <w:sz w:val="22"/>
          <w:szCs w:val="22"/>
          <w:shd w:val="clear" w:color="auto" w:fill="FFFFFF" w:themeFill="background1"/>
        </w:rPr>
        <w:t>60</w:t>
      </w:r>
      <w:r w:rsidRPr="00424B0D">
        <w:rPr>
          <w:rFonts w:ascii="Arial" w:hAnsi="Arial" w:cs="Arial"/>
          <w:color w:val="000000"/>
          <w:sz w:val="22"/>
          <w:szCs w:val="22"/>
          <w:shd w:val="clear" w:color="auto" w:fill="FFFFFF" w:themeFill="background1"/>
        </w:rPr>
        <w:t>0 samples with novel 5m-CpG data.</w:t>
      </w:r>
      <w:r>
        <w:rPr>
          <w:rFonts w:ascii="Arial" w:hAnsi="Arial" w:cs="Arial"/>
          <w:color w:val="000000"/>
          <w:sz w:val="22"/>
          <w:szCs w:val="22"/>
          <w:shd w:val="clear" w:color="auto" w:fill="FFFFFF" w:themeFill="background1"/>
        </w:rPr>
        <w:t xml:space="preserve"> The GA4K HiFi-GS data repository and pipelines (see above) allowed CMKC to become </w:t>
      </w:r>
      <w:r>
        <w:rPr>
          <w:rFonts w:ascii="Arial" w:hAnsi="Arial" w:cs="Arial"/>
          <w:sz w:val="22"/>
          <w:szCs w:val="22"/>
        </w:rPr>
        <w:t xml:space="preserve">first laboratory in the US offering clinical whole genome analyses on </w:t>
      </w:r>
      <w:proofErr w:type="spellStart"/>
      <w:r>
        <w:rPr>
          <w:rFonts w:ascii="Arial" w:hAnsi="Arial" w:cs="Arial"/>
          <w:sz w:val="22"/>
          <w:szCs w:val="22"/>
        </w:rPr>
        <w:t>Revio</w:t>
      </w:r>
      <w:proofErr w:type="spellEnd"/>
      <w:r>
        <w:rPr>
          <w:rFonts w:ascii="Arial" w:hAnsi="Arial" w:cs="Arial"/>
          <w:sz w:val="22"/>
          <w:szCs w:val="22"/>
        </w:rPr>
        <w:t xml:space="preserve"> systems, where the single clinical </w:t>
      </w:r>
      <w:r>
        <w:rPr>
          <w:rFonts w:ascii="Arial" w:hAnsi="Arial" w:cs="Arial"/>
          <w:sz w:val="22"/>
          <w:szCs w:val="22"/>
        </w:rPr>
        <w:lastRenderedPageBreak/>
        <w:t>5mC-HiFi-GS tests consolidates numerous independent molecular tests of the clinical laboratory (including SNV, SV, CNV, methylation, X-</w:t>
      </w:r>
      <w:proofErr w:type="gramStart"/>
      <w:r>
        <w:rPr>
          <w:rFonts w:ascii="Arial" w:hAnsi="Arial" w:cs="Arial"/>
          <w:sz w:val="22"/>
          <w:szCs w:val="22"/>
        </w:rPr>
        <w:t>inactivation</w:t>
      </w:r>
      <w:proofErr w:type="gramEnd"/>
      <w:r>
        <w:rPr>
          <w:rFonts w:ascii="Arial" w:hAnsi="Arial" w:cs="Arial"/>
          <w:sz w:val="22"/>
          <w:szCs w:val="22"/>
        </w:rPr>
        <w:t xml:space="preserve"> and dedicated tests for complex gene regions such as </w:t>
      </w:r>
      <w:r>
        <w:rPr>
          <w:rFonts w:ascii="Arial" w:hAnsi="Arial" w:cs="Arial"/>
          <w:i/>
          <w:iCs/>
          <w:sz w:val="22"/>
          <w:szCs w:val="22"/>
        </w:rPr>
        <w:t xml:space="preserve">CYP21A2 </w:t>
      </w:r>
      <w:r>
        <w:rPr>
          <w:rFonts w:ascii="Arial" w:hAnsi="Arial" w:cs="Arial"/>
          <w:sz w:val="22"/>
          <w:szCs w:val="22"/>
        </w:rPr>
        <w:t xml:space="preserve">and </w:t>
      </w:r>
      <w:r>
        <w:rPr>
          <w:rFonts w:ascii="Arial" w:hAnsi="Arial" w:cs="Arial"/>
          <w:i/>
          <w:iCs/>
          <w:sz w:val="22"/>
          <w:szCs w:val="22"/>
        </w:rPr>
        <w:t>STRC</w:t>
      </w:r>
      <w:r>
        <w:rPr>
          <w:rFonts w:ascii="Arial" w:hAnsi="Arial" w:cs="Arial"/>
          <w:sz w:val="22"/>
          <w:szCs w:val="22"/>
        </w:rPr>
        <w:t>).</w:t>
      </w:r>
      <w:r w:rsidRPr="00424B0D">
        <w:rPr>
          <w:rFonts w:ascii="Arial" w:hAnsi="Arial" w:cs="Arial"/>
          <w:color w:val="000000"/>
          <w:sz w:val="22"/>
          <w:szCs w:val="22"/>
          <w:shd w:val="clear" w:color="auto" w:fill="FFFFFF" w:themeFill="background1"/>
        </w:rPr>
        <w:t xml:space="preserve"> In addition to CMKC institutional commitment the program has harnessed $18.2M of philanthropic investment form donors supporting rare disease research.</w:t>
      </w:r>
    </w:p>
    <w:p w14:paraId="165E0B41" w14:textId="77777777" w:rsidR="00424B0D" w:rsidRPr="00424B0D" w:rsidRDefault="00424B0D" w:rsidP="00424B0D">
      <w:pPr>
        <w:shd w:val="clear" w:color="auto" w:fill="FFFFFF" w:themeFill="background1"/>
        <w:tabs>
          <w:tab w:val="left" w:pos="1440"/>
        </w:tabs>
        <w:spacing w:after="120"/>
        <w:rPr>
          <w:rFonts w:ascii="Arial" w:hAnsi="Arial" w:cs="Arial"/>
          <w:b/>
          <w:color w:val="000000"/>
          <w:sz w:val="22"/>
          <w:szCs w:val="22"/>
          <w:shd w:val="clear" w:color="auto" w:fill="FFFFFF" w:themeFill="background1"/>
        </w:rPr>
      </w:pPr>
    </w:p>
    <w:p w14:paraId="436B3C41" w14:textId="3C48ED62" w:rsidR="008F77FF" w:rsidRDefault="00DB3C1C" w:rsidP="002F1305">
      <w:pPr>
        <w:shd w:val="clear" w:color="auto" w:fill="FFFFFF" w:themeFill="background1"/>
        <w:tabs>
          <w:tab w:val="left" w:pos="1440"/>
        </w:tabs>
        <w:spacing w:after="120"/>
        <w:rPr>
          <w:rFonts w:ascii="Arial" w:hAnsi="Arial" w:cs="Arial"/>
          <w:b/>
          <w:sz w:val="22"/>
          <w:szCs w:val="22"/>
        </w:rPr>
      </w:pPr>
      <w:r w:rsidRPr="002F1305">
        <w:rPr>
          <w:rFonts w:ascii="Arial" w:hAnsi="Arial" w:cs="Arial"/>
          <w:b/>
          <w:sz w:val="22"/>
          <w:szCs w:val="22"/>
        </w:rPr>
        <w:t>Precision Therapeutics</w:t>
      </w:r>
    </w:p>
    <w:p w14:paraId="05EC36BC" w14:textId="77777777" w:rsidR="00174AF5" w:rsidRPr="00174AF5" w:rsidRDefault="00174AF5" w:rsidP="00174AF5">
      <w:pPr>
        <w:shd w:val="clear" w:color="auto" w:fill="FFFFFF"/>
        <w:spacing w:after="120"/>
        <w:rPr>
          <w:rFonts w:ascii="Arial" w:eastAsia="Calibri" w:hAnsi="Arial" w:cs="Arial"/>
          <w:sz w:val="22"/>
          <w:szCs w:val="22"/>
          <w14:ligatures w14:val="standardContextual"/>
        </w:rPr>
      </w:pPr>
      <w:r w:rsidRPr="00174AF5">
        <w:rPr>
          <w:rFonts w:ascii="Arial" w:eastAsia="Calibri" w:hAnsi="Arial" w:cs="Arial"/>
          <w:color w:val="000000"/>
          <w:sz w:val="22"/>
          <w:szCs w:val="22"/>
          <w14:ligatures w14:val="standardContextual"/>
        </w:rPr>
        <w:t xml:space="preserve">The application of new technologies to provide more precise diagnoses should be accompanied by equally precise therapeutic interventions.  Occupying 12,320 sq ft of space (7,370 sq ft of laboratory and 4,950 sq ft of office, </w:t>
      </w:r>
      <w:proofErr w:type="gramStart"/>
      <w:r w:rsidRPr="00174AF5">
        <w:rPr>
          <w:rFonts w:ascii="Arial" w:eastAsia="Calibri" w:hAnsi="Arial" w:cs="Arial"/>
          <w:color w:val="000000"/>
          <w:sz w:val="22"/>
          <w:szCs w:val="22"/>
          <w14:ligatures w14:val="standardContextual"/>
        </w:rPr>
        <w:t>cubicle</w:t>
      </w:r>
      <w:proofErr w:type="gramEnd"/>
      <w:r w:rsidRPr="00174AF5">
        <w:rPr>
          <w:rFonts w:ascii="Arial" w:eastAsia="Calibri" w:hAnsi="Arial" w:cs="Arial"/>
          <w:color w:val="000000"/>
          <w:sz w:val="22"/>
          <w:szCs w:val="22"/>
          <w14:ligatures w14:val="standardContextual"/>
        </w:rPr>
        <w:t xml:space="preserve"> and touchdown space) on the third floor of the CMRI building, the Precision Therapeutics Area of Emphasis provides support to pediatric subspecialties (</w:t>
      </w:r>
      <w:r w:rsidRPr="00174AF5">
        <w:rPr>
          <w:rFonts w:ascii="Arial" w:eastAsia="Calibri" w:hAnsi="Arial" w:cs="Arial"/>
          <w:i/>
          <w:iCs/>
          <w:color w:val="000000"/>
          <w:sz w:val="22"/>
          <w:szCs w:val="22"/>
          <w14:ligatures w14:val="standardContextual"/>
        </w:rPr>
        <w:t xml:space="preserve">e.g., </w:t>
      </w:r>
      <w:r w:rsidRPr="00174AF5">
        <w:rPr>
          <w:rFonts w:ascii="Arial" w:eastAsia="Calibri" w:hAnsi="Arial" w:cs="Arial"/>
          <w:color w:val="000000"/>
          <w:sz w:val="22"/>
          <w:szCs w:val="22"/>
          <w14:ligatures w14:val="standardContextual"/>
        </w:rPr>
        <w:t>Division level) or individual faculty members committed to translational research programs investigating variability in response to therapeutic interventions, and integrating the knowledge gained into clinical care.  The primary resources available to investigators include analytical support and pharmacogenetic/pharmacogenomic services.</w:t>
      </w:r>
    </w:p>
    <w:p w14:paraId="67B4CA52" w14:textId="77777777" w:rsidR="00FF0E1F" w:rsidRPr="00FF0E1F" w:rsidRDefault="00FF0E1F" w:rsidP="00FF0E1F">
      <w:pPr>
        <w:shd w:val="clear" w:color="auto" w:fill="FFFFFF"/>
        <w:spacing w:after="120"/>
        <w:rPr>
          <w:rFonts w:ascii="Arial" w:eastAsia="Calibri" w:hAnsi="Arial" w:cs="Arial"/>
          <w:sz w:val="22"/>
          <w:szCs w:val="22"/>
          <w14:ligatures w14:val="standardContextual"/>
        </w:rPr>
      </w:pPr>
      <w:r w:rsidRPr="00FF0E1F">
        <w:rPr>
          <w:rFonts w:ascii="Arial" w:eastAsia="Calibri" w:hAnsi="Arial" w:cs="Arial"/>
          <w:color w:val="000000"/>
          <w:sz w:val="22"/>
          <w:szCs w:val="22"/>
          <w:u w:val="single"/>
          <w14:ligatures w14:val="standardContextual"/>
        </w:rPr>
        <w:t>Analytical Resources</w:t>
      </w:r>
      <w:r w:rsidRPr="00FF0E1F">
        <w:rPr>
          <w:rFonts w:ascii="Arial" w:eastAsia="Calibri" w:hAnsi="Arial" w:cs="Arial"/>
          <w:color w:val="000000"/>
          <w:sz w:val="22"/>
          <w:szCs w:val="22"/>
          <w14:ligatures w14:val="standardContextual"/>
        </w:rPr>
        <w:t xml:space="preserve">: The Children’s Mercy Research Institute’s analytical capabilities occupy approximately 1,940 square feet in the CMRI Research Building and include seven triple quadrupole mass spectrometers (a Waters </w:t>
      </w:r>
      <w:proofErr w:type="spellStart"/>
      <w:r w:rsidRPr="00FF0E1F">
        <w:rPr>
          <w:rFonts w:ascii="Arial" w:eastAsia="Calibri" w:hAnsi="Arial" w:cs="Arial"/>
          <w:color w:val="000000"/>
          <w:sz w:val="22"/>
          <w:szCs w:val="22"/>
          <w14:ligatures w14:val="standardContextual"/>
        </w:rPr>
        <w:t>Xevo</w:t>
      </w:r>
      <w:proofErr w:type="spellEnd"/>
      <w:r w:rsidRPr="00FF0E1F">
        <w:rPr>
          <w:rFonts w:ascii="Arial" w:eastAsia="Calibri" w:hAnsi="Arial" w:cs="Arial"/>
          <w:color w:val="000000"/>
          <w:sz w:val="22"/>
          <w:szCs w:val="22"/>
          <w14:ligatures w14:val="standardContextual"/>
        </w:rPr>
        <w:t xml:space="preserve"> TQ-S, four Waters </w:t>
      </w:r>
      <w:proofErr w:type="spellStart"/>
      <w:r w:rsidRPr="00FF0E1F">
        <w:rPr>
          <w:rFonts w:ascii="Arial" w:eastAsia="Calibri" w:hAnsi="Arial" w:cs="Arial"/>
          <w:color w:val="000000"/>
          <w:sz w:val="22"/>
          <w:szCs w:val="22"/>
          <w14:ligatures w14:val="standardContextual"/>
        </w:rPr>
        <w:t>Xevo</w:t>
      </w:r>
      <w:proofErr w:type="spellEnd"/>
      <w:r w:rsidRPr="00FF0E1F">
        <w:rPr>
          <w:rFonts w:ascii="Arial" w:eastAsia="Calibri" w:hAnsi="Arial" w:cs="Arial"/>
          <w:color w:val="000000"/>
          <w:sz w:val="22"/>
          <w:szCs w:val="22"/>
          <w14:ligatures w14:val="standardContextual"/>
        </w:rPr>
        <w:t xml:space="preserve"> TQ-XS  and two </w:t>
      </w:r>
      <w:proofErr w:type="spellStart"/>
      <w:r w:rsidRPr="00FF0E1F">
        <w:rPr>
          <w:rFonts w:ascii="Arial" w:eastAsia="Calibri" w:hAnsi="Arial" w:cs="Arial"/>
          <w:color w:val="000000"/>
          <w:sz w:val="22"/>
          <w:szCs w:val="22"/>
          <w14:ligatures w14:val="standardContextual"/>
        </w:rPr>
        <w:t>Sciex</w:t>
      </w:r>
      <w:proofErr w:type="spellEnd"/>
      <w:r w:rsidRPr="00FF0E1F">
        <w:rPr>
          <w:rFonts w:ascii="Arial" w:eastAsia="Calibri" w:hAnsi="Arial" w:cs="Arial"/>
          <w:color w:val="000000"/>
          <w:sz w:val="22"/>
          <w:szCs w:val="22"/>
          <w14:ligatures w14:val="standardContextual"/>
        </w:rPr>
        <w:t xml:space="preserve"> 7500 instruments), and a Waters </w:t>
      </w:r>
      <w:proofErr w:type="spellStart"/>
      <w:r w:rsidRPr="00FF0E1F">
        <w:rPr>
          <w:rFonts w:ascii="Arial" w:eastAsia="Calibri" w:hAnsi="Arial" w:cs="Arial"/>
          <w:color w:val="000000"/>
          <w:sz w:val="22"/>
          <w:szCs w:val="22"/>
          <w14:ligatures w14:val="standardContextual"/>
        </w:rPr>
        <w:t>Xevo</w:t>
      </w:r>
      <w:proofErr w:type="spellEnd"/>
      <w:r w:rsidRPr="00FF0E1F">
        <w:rPr>
          <w:rFonts w:ascii="Arial" w:eastAsia="Calibri" w:hAnsi="Arial" w:cs="Arial"/>
          <w:color w:val="000000"/>
          <w:sz w:val="22"/>
          <w:szCs w:val="22"/>
          <w14:ligatures w14:val="standardContextual"/>
        </w:rPr>
        <w:t xml:space="preserve"> G2-XS </w:t>
      </w:r>
      <w:proofErr w:type="spellStart"/>
      <w:r w:rsidRPr="00FF0E1F">
        <w:rPr>
          <w:rFonts w:ascii="Arial" w:eastAsia="Calibri" w:hAnsi="Arial" w:cs="Arial"/>
          <w:color w:val="000000"/>
          <w:sz w:val="22"/>
          <w:szCs w:val="22"/>
          <w14:ligatures w14:val="standardContextual"/>
        </w:rPr>
        <w:t>QToF</w:t>
      </w:r>
      <w:proofErr w:type="spellEnd"/>
      <w:r w:rsidRPr="00FF0E1F">
        <w:rPr>
          <w:rFonts w:ascii="Arial" w:eastAsia="Calibri" w:hAnsi="Arial" w:cs="Arial"/>
          <w:color w:val="000000"/>
          <w:sz w:val="22"/>
          <w:szCs w:val="22"/>
          <w14:ligatures w14:val="standardContextual"/>
        </w:rPr>
        <w:t xml:space="preserve"> mass spectrometer, each with UHPLC front end systems; both a Waters Ion key source coupled to an M-class </w:t>
      </w:r>
      <w:proofErr w:type="spellStart"/>
      <w:r w:rsidRPr="00FF0E1F">
        <w:rPr>
          <w:rFonts w:ascii="Arial" w:eastAsia="Calibri" w:hAnsi="Arial" w:cs="Arial"/>
          <w:color w:val="000000"/>
          <w:sz w:val="22"/>
          <w:szCs w:val="22"/>
          <w14:ligatures w14:val="standardContextual"/>
        </w:rPr>
        <w:t>Acquity</w:t>
      </w:r>
      <w:proofErr w:type="spellEnd"/>
      <w:r w:rsidRPr="00FF0E1F">
        <w:rPr>
          <w:rFonts w:ascii="Arial" w:eastAsia="Calibri" w:hAnsi="Arial" w:cs="Arial"/>
          <w:color w:val="000000"/>
          <w:sz w:val="22"/>
          <w:szCs w:val="22"/>
          <w14:ligatures w14:val="standardContextual"/>
        </w:rPr>
        <w:t xml:space="preserve"> (microflow type experiments) and a UPC2 (supercritical fluid LC) system are available on all Waters systems. A high resolution </w:t>
      </w:r>
      <w:proofErr w:type="spellStart"/>
      <w:r w:rsidRPr="00FF0E1F">
        <w:rPr>
          <w:rFonts w:ascii="Arial" w:eastAsia="Calibri" w:hAnsi="Arial" w:cs="Arial"/>
          <w:color w:val="000000"/>
          <w:sz w:val="22"/>
          <w:szCs w:val="22"/>
          <w14:ligatures w14:val="standardContextual"/>
        </w:rPr>
        <w:t>Thermo</w:t>
      </w:r>
      <w:proofErr w:type="spellEnd"/>
      <w:r w:rsidRPr="00FF0E1F">
        <w:rPr>
          <w:rFonts w:ascii="Arial" w:eastAsia="Calibri" w:hAnsi="Arial" w:cs="Arial"/>
          <w:color w:val="000000"/>
          <w:sz w:val="22"/>
          <w:szCs w:val="22"/>
          <w14:ligatures w14:val="standardContextual"/>
        </w:rPr>
        <w:t xml:space="preserve"> Orbitrap </w:t>
      </w:r>
      <w:proofErr w:type="spellStart"/>
      <w:r w:rsidRPr="00FF0E1F">
        <w:rPr>
          <w:rFonts w:ascii="Arial" w:eastAsia="Calibri" w:hAnsi="Arial" w:cs="Arial"/>
          <w:color w:val="000000"/>
          <w:sz w:val="22"/>
          <w:szCs w:val="22"/>
          <w14:ligatures w14:val="standardContextual"/>
        </w:rPr>
        <w:t>Exploris</w:t>
      </w:r>
      <w:proofErr w:type="spellEnd"/>
      <w:r w:rsidRPr="00FF0E1F">
        <w:rPr>
          <w:rFonts w:ascii="Arial" w:eastAsia="Calibri" w:hAnsi="Arial" w:cs="Arial"/>
          <w:color w:val="000000"/>
          <w:sz w:val="22"/>
          <w:szCs w:val="22"/>
          <w14:ligatures w14:val="standardContextual"/>
        </w:rPr>
        <w:t xml:space="preserve"> 480 mass spectrometer coupled to an Easy-</w:t>
      </w:r>
      <w:proofErr w:type="spellStart"/>
      <w:r w:rsidRPr="00FF0E1F">
        <w:rPr>
          <w:rFonts w:ascii="Arial" w:eastAsia="Calibri" w:hAnsi="Arial" w:cs="Arial"/>
          <w:color w:val="000000"/>
          <w:sz w:val="22"/>
          <w:szCs w:val="22"/>
          <w14:ligatures w14:val="standardContextual"/>
        </w:rPr>
        <w:t>nLC</w:t>
      </w:r>
      <w:proofErr w:type="spellEnd"/>
      <w:r w:rsidRPr="00FF0E1F">
        <w:rPr>
          <w:rFonts w:ascii="Arial" w:eastAsia="Calibri" w:hAnsi="Arial" w:cs="Arial"/>
          <w:color w:val="000000"/>
          <w:sz w:val="22"/>
          <w:szCs w:val="22"/>
          <w14:ligatures w14:val="standardContextual"/>
        </w:rPr>
        <w:t xml:space="preserve"> 1200 system for nanoflow chromatography is available for proteomic applications.  Additional analytical platforms include four Agilent HPLC systems, detectors accessible include fluorescence and UV/vis detectors, a diode array detector, and two POC-One infrared spectrometers for analyzing [</w:t>
      </w:r>
      <w:r w:rsidRPr="00FF0E1F">
        <w:rPr>
          <w:rFonts w:ascii="Arial" w:eastAsia="Calibri" w:hAnsi="Arial" w:cs="Arial"/>
          <w:color w:val="000000"/>
          <w:sz w:val="22"/>
          <w:szCs w:val="22"/>
          <w:vertAlign w:val="superscript"/>
          <w14:ligatures w14:val="standardContextual"/>
        </w:rPr>
        <w:t>13</w:t>
      </w:r>
      <w:proofErr w:type="gramStart"/>
      <w:r w:rsidRPr="00FF0E1F">
        <w:rPr>
          <w:rFonts w:ascii="Arial" w:eastAsia="Calibri" w:hAnsi="Arial" w:cs="Arial"/>
          <w:color w:val="000000"/>
          <w:sz w:val="22"/>
          <w:szCs w:val="22"/>
          <w14:ligatures w14:val="standardContextual"/>
        </w:rPr>
        <w:t>C]O</w:t>
      </w:r>
      <w:proofErr w:type="gramEnd"/>
      <w:r w:rsidRPr="00FF0E1F">
        <w:rPr>
          <w:rFonts w:ascii="Arial" w:eastAsia="Calibri" w:hAnsi="Arial" w:cs="Arial"/>
          <w:color w:val="000000"/>
          <w:sz w:val="22"/>
          <w:szCs w:val="22"/>
          <w:vertAlign w:val="subscript"/>
          <w14:ligatures w14:val="standardContextual"/>
        </w:rPr>
        <w:t>2</w:t>
      </w:r>
      <w:r w:rsidRPr="00FF0E1F">
        <w:rPr>
          <w:rFonts w:ascii="Arial" w:eastAsia="Calibri" w:hAnsi="Arial" w:cs="Arial"/>
          <w:color w:val="000000"/>
          <w:sz w:val="22"/>
          <w:szCs w:val="22"/>
          <w14:ligatures w14:val="standardContextual"/>
        </w:rPr>
        <w:t xml:space="preserve"> breath test samples; a fraction collector is also available. Two </w:t>
      </w:r>
      <w:proofErr w:type="spellStart"/>
      <w:r w:rsidRPr="00FF0E1F">
        <w:rPr>
          <w:rFonts w:ascii="Arial" w:eastAsia="Calibri" w:hAnsi="Arial" w:cs="Arial"/>
          <w:color w:val="000000"/>
          <w:sz w:val="22"/>
          <w:szCs w:val="22"/>
          <w14:ligatures w14:val="standardContextual"/>
        </w:rPr>
        <w:t>Opentrons</w:t>
      </w:r>
      <w:proofErr w:type="spellEnd"/>
      <w:r w:rsidRPr="00FF0E1F">
        <w:rPr>
          <w:rFonts w:ascii="Arial" w:eastAsia="Calibri" w:hAnsi="Arial" w:cs="Arial"/>
          <w:color w:val="000000"/>
          <w:sz w:val="22"/>
          <w:szCs w:val="22"/>
          <w14:ligatures w14:val="standardContextual"/>
        </w:rPr>
        <w:t xml:space="preserve"> liquid handling systems are available for programable pipetting of sample processing steps. All other necessary equipment and facilities, such as positive pressure manifolds, nitrogen evaporators, cold rooms, centrifuges, </w:t>
      </w:r>
      <w:proofErr w:type="spellStart"/>
      <w:r w:rsidRPr="00FF0E1F">
        <w:rPr>
          <w:rFonts w:ascii="Arial" w:eastAsia="Calibri" w:hAnsi="Arial" w:cs="Arial"/>
          <w:color w:val="000000"/>
          <w:sz w:val="22"/>
          <w:szCs w:val="22"/>
          <w14:ligatures w14:val="standardContextual"/>
        </w:rPr>
        <w:t>Centrivaps</w:t>
      </w:r>
      <w:proofErr w:type="spellEnd"/>
      <w:r w:rsidRPr="00FF0E1F">
        <w:rPr>
          <w:rFonts w:ascii="Arial" w:eastAsia="Calibri" w:hAnsi="Arial" w:cs="Arial"/>
          <w:color w:val="000000"/>
          <w:sz w:val="22"/>
          <w:szCs w:val="22"/>
          <w14:ligatures w14:val="standardContextual"/>
        </w:rPr>
        <w:t xml:space="preserve">, biosafety cabinets, chemical fume hoods, </w:t>
      </w:r>
      <w:proofErr w:type="gramStart"/>
      <w:r w:rsidRPr="00FF0E1F">
        <w:rPr>
          <w:rFonts w:ascii="Arial" w:eastAsia="Calibri" w:hAnsi="Arial" w:cs="Arial"/>
          <w:color w:val="000000"/>
          <w:sz w:val="22"/>
          <w:szCs w:val="22"/>
          <w14:ligatures w14:val="standardContextual"/>
        </w:rPr>
        <w:t>electrophoresis</w:t>
      </w:r>
      <w:proofErr w:type="gramEnd"/>
      <w:r w:rsidRPr="00FF0E1F">
        <w:rPr>
          <w:rFonts w:ascii="Arial" w:eastAsia="Calibri" w:hAnsi="Arial" w:cs="Arial"/>
          <w:color w:val="000000"/>
          <w:sz w:val="22"/>
          <w:szCs w:val="22"/>
          <w14:ligatures w14:val="standardContextual"/>
        </w:rPr>
        <w:t xml:space="preserve"> and blotting systems, and -20ºC and -80ºC storage are available to conduct experiments with protein isolated from a variety of sources such as blood, tissue and saliva and store specimens appropriately.</w:t>
      </w:r>
    </w:p>
    <w:p w14:paraId="61436624" w14:textId="77777777" w:rsidR="00174AF5" w:rsidRPr="00174AF5" w:rsidRDefault="00174AF5" w:rsidP="00174AF5">
      <w:pPr>
        <w:autoSpaceDE w:val="0"/>
        <w:autoSpaceDN w:val="0"/>
        <w:spacing w:after="120"/>
        <w:rPr>
          <w:rFonts w:ascii="Arial" w:eastAsia="Calibri" w:hAnsi="Arial" w:cs="Arial"/>
          <w:sz w:val="22"/>
          <w:szCs w:val="22"/>
          <w14:ligatures w14:val="standardContextual"/>
        </w:rPr>
      </w:pPr>
      <w:r w:rsidRPr="00174AF5">
        <w:rPr>
          <w:rFonts w:ascii="Arial" w:eastAsia="Calibri" w:hAnsi="Arial" w:cs="Arial"/>
          <w:sz w:val="22"/>
          <w:szCs w:val="22"/>
          <w:u w:val="single"/>
          <w14:ligatures w14:val="standardContextual"/>
        </w:rPr>
        <w:t>Pharmacogenetics and Pharmacogenomics Resources</w:t>
      </w:r>
      <w:r w:rsidRPr="00174AF5">
        <w:rPr>
          <w:rFonts w:ascii="Arial" w:eastAsia="Calibri" w:hAnsi="Arial" w:cs="Arial"/>
          <w:sz w:val="22"/>
          <w:szCs w:val="22"/>
          <w14:ligatures w14:val="standardContextual"/>
        </w:rPr>
        <w:t xml:space="preserve">:  The Pharmacogenetics and Pharmacogenomics laboratory focuses on genotyping for </w:t>
      </w:r>
      <w:proofErr w:type="spellStart"/>
      <w:r w:rsidRPr="00174AF5">
        <w:rPr>
          <w:rFonts w:ascii="Arial" w:eastAsia="Calibri" w:hAnsi="Arial" w:cs="Arial"/>
          <w:sz w:val="22"/>
          <w:szCs w:val="22"/>
          <w14:ligatures w14:val="standardContextual"/>
        </w:rPr>
        <w:t>pharmacogenes</w:t>
      </w:r>
      <w:proofErr w:type="spellEnd"/>
      <w:r w:rsidRPr="00174AF5">
        <w:rPr>
          <w:rFonts w:ascii="Arial" w:eastAsia="Calibri" w:hAnsi="Arial" w:cs="Arial"/>
          <w:sz w:val="22"/>
          <w:szCs w:val="22"/>
          <w14:ligatures w14:val="standardContextual"/>
        </w:rPr>
        <w:t xml:space="preserve"> contributing to variability in drug disposition and response. To detect small sequence variants including single nucleotide polymorphisms (SNPs) and insertion/deletions (indels) a variety of methods are utilized including TaqMan, High-Resolution Melt Curve analysis (HRM) and DNA sequencing. To determine gene copy number variation including gene deletions, duplications and gene arrangements qualitative and quantitative methods will be applied including long-range PCR, digital droplet PCR (</w:t>
      </w:r>
      <w:proofErr w:type="spellStart"/>
      <w:r w:rsidRPr="00174AF5">
        <w:rPr>
          <w:rFonts w:ascii="Arial" w:eastAsia="Calibri" w:hAnsi="Arial" w:cs="Arial"/>
          <w:sz w:val="22"/>
          <w:szCs w:val="22"/>
          <w14:ligatures w14:val="standardContextual"/>
        </w:rPr>
        <w:t>ddPCR</w:t>
      </w:r>
      <w:proofErr w:type="spellEnd"/>
      <w:r w:rsidRPr="00174AF5">
        <w:rPr>
          <w:rFonts w:ascii="Arial" w:eastAsia="Calibri" w:hAnsi="Arial" w:cs="Arial"/>
          <w:sz w:val="22"/>
          <w:szCs w:val="22"/>
          <w14:ligatures w14:val="standardContextual"/>
        </w:rPr>
        <w:t xml:space="preserve">), as well as an in-house developed multiplex copy number method that was specifically developed for CYP2D6 are available. Methods to identify length polymorphisms such as small repeat units are also at our disposal. In addition, Sanger-based DNA sequencing serves as the method of choice for more comprehensive analyses and/or the characterization of variable gene regions which are not amenable to other genotyping methods. Genotyping panels have been established for many cytochrome P450 genes, including </w:t>
      </w:r>
      <w:r w:rsidRPr="00174AF5">
        <w:rPr>
          <w:rFonts w:ascii="Arial" w:eastAsia="Calibri" w:hAnsi="Arial" w:cs="Arial"/>
          <w:i/>
          <w:iCs/>
          <w:sz w:val="22"/>
          <w:szCs w:val="22"/>
          <w14:ligatures w14:val="standardContextual"/>
        </w:rPr>
        <w:t>CYP2D6</w:t>
      </w:r>
      <w:r w:rsidRPr="00174AF5">
        <w:rPr>
          <w:rFonts w:ascii="Arial" w:eastAsia="Calibri" w:hAnsi="Arial" w:cs="Arial"/>
          <w:sz w:val="22"/>
          <w:szCs w:val="22"/>
          <w14:ligatures w14:val="standardContextual"/>
        </w:rPr>
        <w:t xml:space="preserve"> (one of the most comprehensive genotyping panels for this highly polymorphic enzyme that is notoriously difficult to accurately genotype), </w:t>
      </w:r>
      <w:r w:rsidRPr="00174AF5">
        <w:rPr>
          <w:rFonts w:ascii="Arial" w:eastAsia="Calibri" w:hAnsi="Arial" w:cs="Arial"/>
          <w:i/>
          <w:iCs/>
          <w:sz w:val="22"/>
          <w:szCs w:val="22"/>
          <w14:ligatures w14:val="standardContextual"/>
        </w:rPr>
        <w:t>CYP2C9</w:t>
      </w:r>
      <w:r w:rsidRPr="00174AF5">
        <w:rPr>
          <w:rFonts w:ascii="Arial" w:eastAsia="Calibri" w:hAnsi="Arial" w:cs="Arial"/>
          <w:sz w:val="22"/>
          <w:szCs w:val="22"/>
          <w14:ligatures w14:val="standardContextual"/>
        </w:rPr>
        <w:t xml:space="preserve"> and </w:t>
      </w:r>
      <w:r w:rsidRPr="00174AF5">
        <w:rPr>
          <w:rFonts w:ascii="Arial" w:eastAsia="Calibri" w:hAnsi="Arial" w:cs="Arial"/>
          <w:i/>
          <w:iCs/>
          <w:sz w:val="22"/>
          <w:szCs w:val="22"/>
          <w14:ligatures w14:val="standardContextual"/>
        </w:rPr>
        <w:t>CYP2C19, CYP2B6</w:t>
      </w:r>
      <w:r w:rsidRPr="00174AF5">
        <w:rPr>
          <w:rFonts w:ascii="Arial" w:eastAsia="Calibri" w:hAnsi="Arial" w:cs="Arial"/>
          <w:sz w:val="22"/>
          <w:szCs w:val="22"/>
          <w14:ligatures w14:val="standardContextual"/>
        </w:rPr>
        <w:t xml:space="preserve">, the </w:t>
      </w:r>
      <w:r w:rsidRPr="00174AF5">
        <w:rPr>
          <w:rFonts w:ascii="Arial" w:eastAsia="Calibri" w:hAnsi="Arial" w:cs="Arial"/>
          <w:i/>
          <w:iCs/>
          <w:sz w:val="22"/>
          <w:szCs w:val="22"/>
          <w14:ligatures w14:val="standardContextual"/>
        </w:rPr>
        <w:t>CYP3A</w:t>
      </w:r>
      <w:r w:rsidRPr="00174AF5">
        <w:rPr>
          <w:rFonts w:ascii="Arial" w:eastAsia="Calibri" w:hAnsi="Arial" w:cs="Arial"/>
          <w:sz w:val="22"/>
          <w:szCs w:val="22"/>
          <w14:ligatures w14:val="standardContextual"/>
        </w:rPr>
        <w:t xml:space="preserve"> gene locus, as well as several drug transporters and receptors.  Quantitative assays have been established to determine gene copy number for </w:t>
      </w:r>
      <w:r w:rsidRPr="00174AF5">
        <w:rPr>
          <w:rFonts w:ascii="Arial" w:eastAsia="Calibri" w:hAnsi="Arial" w:cs="Arial"/>
          <w:i/>
          <w:iCs/>
          <w:sz w:val="22"/>
          <w:szCs w:val="22"/>
          <w14:ligatures w14:val="standardContextual"/>
        </w:rPr>
        <w:t>CYP2D6, SULT1A1</w:t>
      </w:r>
      <w:r w:rsidRPr="00174AF5">
        <w:rPr>
          <w:rFonts w:ascii="Arial" w:eastAsia="Calibri" w:hAnsi="Arial" w:cs="Arial"/>
          <w:sz w:val="22"/>
          <w:szCs w:val="22"/>
          <w14:ligatures w14:val="standardContextual"/>
        </w:rPr>
        <w:t xml:space="preserve"> and </w:t>
      </w:r>
      <w:r w:rsidRPr="00174AF5">
        <w:rPr>
          <w:rFonts w:ascii="Arial" w:eastAsia="Calibri" w:hAnsi="Arial" w:cs="Arial"/>
          <w:i/>
          <w:iCs/>
          <w:sz w:val="22"/>
          <w:szCs w:val="22"/>
          <w14:ligatures w14:val="standardContextual"/>
        </w:rPr>
        <w:t>UGT2B17</w:t>
      </w:r>
      <w:r w:rsidRPr="00174AF5">
        <w:rPr>
          <w:rFonts w:ascii="Arial" w:eastAsia="Calibri" w:hAnsi="Arial" w:cs="Arial"/>
          <w:sz w:val="22"/>
          <w:szCs w:val="22"/>
          <w14:ligatures w14:val="standardContextual"/>
        </w:rPr>
        <w:t xml:space="preserve">.  We also have access to next-generation sequencing (NGS) technology through a partnership with the </w:t>
      </w:r>
      <w:r w:rsidRPr="00174AF5">
        <w:rPr>
          <w:rFonts w:ascii="Arial" w:eastAsia="Calibri" w:hAnsi="Arial" w:cs="Arial"/>
          <w:color w:val="000000"/>
          <w:sz w:val="22"/>
          <w:szCs w:val="22"/>
          <w:shd w:val="clear" w:color="auto" w:fill="FFFFFF"/>
          <w14:ligatures w14:val="standardContextual"/>
        </w:rPr>
        <w:t>Genomic Medicine</w:t>
      </w:r>
      <w:r w:rsidRPr="00174AF5">
        <w:rPr>
          <w:rFonts w:ascii="Arial" w:eastAsia="Calibri" w:hAnsi="Arial" w:cs="Arial"/>
          <w:sz w:val="22"/>
          <w:szCs w:val="22"/>
          <w14:ligatures w14:val="standardContextual"/>
        </w:rPr>
        <w:t xml:space="preserve"> Center (described above).  In addition to whole genome (WGS), exome (WES) and RNA sequencing, a targeted panel of 280 genes involved in drug absorption, distribution, </w:t>
      </w:r>
      <w:proofErr w:type="gramStart"/>
      <w:r w:rsidRPr="00174AF5">
        <w:rPr>
          <w:rFonts w:ascii="Arial" w:eastAsia="Calibri" w:hAnsi="Arial" w:cs="Arial"/>
          <w:sz w:val="22"/>
          <w:szCs w:val="22"/>
          <w14:ligatures w14:val="standardContextual"/>
        </w:rPr>
        <w:t>metabolism</w:t>
      </w:r>
      <w:proofErr w:type="gramEnd"/>
      <w:r w:rsidRPr="00174AF5">
        <w:rPr>
          <w:rFonts w:ascii="Arial" w:eastAsia="Calibri" w:hAnsi="Arial" w:cs="Arial"/>
          <w:sz w:val="22"/>
          <w:szCs w:val="22"/>
          <w14:ligatures w14:val="standardContextual"/>
        </w:rPr>
        <w:t xml:space="preserve"> and excretion (ADME) and response has been developed and validated using the Illumina </w:t>
      </w:r>
      <w:proofErr w:type="spellStart"/>
      <w:r w:rsidRPr="00174AF5">
        <w:rPr>
          <w:rFonts w:ascii="Arial" w:eastAsia="Calibri" w:hAnsi="Arial" w:cs="Arial"/>
          <w:sz w:val="22"/>
          <w:szCs w:val="22"/>
          <w14:ligatures w14:val="standardContextual"/>
        </w:rPr>
        <w:t>MiSeq</w:t>
      </w:r>
      <w:proofErr w:type="spellEnd"/>
      <w:r w:rsidRPr="00174AF5">
        <w:rPr>
          <w:rFonts w:ascii="Arial" w:eastAsia="Calibri" w:hAnsi="Arial" w:cs="Arial"/>
          <w:sz w:val="22"/>
          <w:szCs w:val="22"/>
          <w14:ligatures w14:val="standardContextual"/>
        </w:rPr>
        <w:t xml:space="preserve"> platform.</w:t>
      </w:r>
    </w:p>
    <w:p w14:paraId="71B24DE3" w14:textId="77777777" w:rsidR="00174AF5" w:rsidRPr="00174AF5" w:rsidRDefault="00174AF5" w:rsidP="00174AF5">
      <w:pPr>
        <w:spacing w:after="120"/>
        <w:rPr>
          <w:rFonts w:ascii="Arial" w:eastAsia="Calibri" w:hAnsi="Arial" w:cs="Arial"/>
          <w:sz w:val="22"/>
          <w:szCs w:val="22"/>
          <w14:ligatures w14:val="standardContextual"/>
        </w:rPr>
      </w:pPr>
      <w:r w:rsidRPr="00174AF5">
        <w:rPr>
          <w:rFonts w:ascii="Arial" w:eastAsia="Calibri" w:hAnsi="Arial" w:cs="Arial"/>
          <w:sz w:val="22"/>
          <w:szCs w:val="22"/>
          <w14:ligatures w14:val="standardContextual"/>
        </w:rPr>
        <w:t xml:space="preserve">The Pharmacogenetics and Pharmacogenomics laboratory is equipped with eight -80ºC freezers for blood and tissue storage, a Mo Bio </w:t>
      </w:r>
      <w:proofErr w:type="spellStart"/>
      <w:r w:rsidRPr="00174AF5">
        <w:rPr>
          <w:rFonts w:ascii="Arial" w:eastAsia="Calibri" w:hAnsi="Arial" w:cs="Arial"/>
          <w:sz w:val="22"/>
          <w:szCs w:val="22"/>
          <w14:ligatures w14:val="standardContextual"/>
        </w:rPr>
        <w:t>Powerlyzer</w:t>
      </w:r>
      <w:proofErr w:type="spellEnd"/>
      <w:r w:rsidRPr="00174AF5">
        <w:rPr>
          <w:rFonts w:ascii="Arial" w:eastAsia="Calibri" w:hAnsi="Arial" w:cs="Arial"/>
          <w:sz w:val="22"/>
          <w:szCs w:val="22"/>
          <w14:ligatures w14:val="standardContextual"/>
        </w:rPr>
        <w:t xml:space="preserve"> for the homogenization of up to 24 tissues, a </w:t>
      </w:r>
      <w:proofErr w:type="spellStart"/>
      <w:r w:rsidRPr="00174AF5">
        <w:rPr>
          <w:rFonts w:ascii="Arial" w:eastAsia="Calibri" w:hAnsi="Arial" w:cs="Arial"/>
          <w:sz w:val="22"/>
          <w:szCs w:val="22"/>
          <w14:ligatures w14:val="standardContextual"/>
        </w:rPr>
        <w:t>QIAcube</w:t>
      </w:r>
      <w:proofErr w:type="spellEnd"/>
      <w:r w:rsidRPr="00174AF5">
        <w:rPr>
          <w:rFonts w:ascii="Arial" w:eastAsia="Calibri" w:hAnsi="Arial" w:cs="Arial"/>
          <w:sz w:val="22"/>
          <w:szCs w:val="22"/>
          <w14:ligatures w14:val="standardContextual"/>
        </w:rPr>
        <w:t xml:space="preserve"> instrument for DNA and RNA extraction, a Qubit 4 fluorometer and a </w:t>
      </w:r>
      <w:proofErr w:type="spellStart"/>
      <w:r w:rsidRPr="00174AF5">
        <w:rPr>
          <w:rFonts w:ascii="Arial" w:eastAsia="Calibri" w:hAnsi="Arial" w:cs="Arial"/>
          <w:sz w:val="22"/>
          <w:szCs w:val="22"/>
          <w14:ligatures w14:val="standardContextual"/>
        </w:rPr>
        <w:t>NanoDrop</w:t>
      </w:r>
      <w:proofErr w:type="spellEnd"/>
      <w:r w:rsidRPr="00174AF5">
        <w:rPr>
          <w:rFonts w:ascii="Arial" w:eastAsia="Calibri" w:hAnsi="Arial" w:cs="Arial"/>
          <w:sz w:val="22"/>
          <w:szCs w:val="22"/>
          <w14:ligatures w14:val="standardContextual"/>
        </w:rPr>
        <w:t xml:space="preserve"> One spectrophotometer, a 2100 Agilent Bioanalyzer automated microfluidic electrophoresis system, for quality and quantity assessment of DNA, RNA and protein, two </w:t>
      </w:r>
      <w:proofErr w:type="spellStart"/>
      <w:r w:rsidRPr="00174AF5">
        <w:rPr>
          <w:rFonts w:ascii="Arial" w:eastAsia="Calibri" w:hAnsi="Arial" w:cs="Arial"/>
          <w:sz w:val="22"/>
          <w:szCs w:val="22"/>
          <w14:ligatures w14:val="standardContextual"/>
        </w:rPr>
        <w:t>ProFlex</w:t>
      </w:r>
      <w:proofErr w:type="spellEnd"/>
      <w:r w:rsidRPr="00174AF5">
        <w:rPr>
          <w:rFonts w:ascii="Arial" w:eastAsia="Calibri" w:hAnsi="Arial" w:cs="Arial"/>
          <w:sz w:val="22"/>
          <w:szCs w:val="22"/>
          <w14:ligatures w14:val="standardContextual"/>
        </w:rPr>
        <w:t xml:space="preserve"> PCR systems and 5 other PCR cyclers,  two Eco </w:t>
      </w:r>
      <w:proofErr w:type="spellStart"/>
      <w:r w:rsidRPr="00174AF5">
        <w:rPr>
          <w:rFonts w:ascii="Arial" w:eastAsia="Calibri" w:hAnsi="Arial" w:cs="Arial"/>
          <w:sz w:val="22"/>
          <w:szCs w:val="22"/>
          <w14:ligatures w14:val="standardContextual"/>
        </w:rPr>
        <w:t>PCRmax</w:t>
      </w:r>
      <w:proofErr w:type="spellEnd"/>
      <w:r w:rsidRPr="00174AF5">
        <w:rPr>
          <w:rFonts w:ascii="Arial" w:eastAsia="Calibri" w:hAnsi="Arial" w:cs="Arial"/>
          <w:sz w:val="22"/>
          <w:szCs w:val="22"/>
          <w14:ligatures w14:val="standardContextual"/>
        </w:rPr>
        <w:t xml:space="preserve"> real-time instruments, two </w:t>
      </w:r>
      <w:proofErr w:type="spellStart"/>
      <w:r w:rsidRPr="00174AF5">
        <w:rPr>
          <w:rFonts w:ascii="Arial" w:eastAsia="Calibri" w:hAnsi="Arial" w:cs="Arial"/>
          <w:sz w:val="22"/>
          <w:szCs w:val="22"/>
          <w14:ligatures w14:val="standardContextual"/>
        </w:rPr>
        <w:t>QuantStudio</w:t>
      </w:r>
      <w:proofErr w:type="spellEnd"/>
      <w:r w:rsidRPr="00174AF5">
        <w:rPr>
          <w:rFonts w:ascii="Arial" w:eastAsia="Calibri" w:hAnsi="Arial" w:cs="Arial"/>
          <w:sz w:val="22"/>
          <w:szCs w:val="22"/>
          <w14:ligatures w14:val="standardContextual"/>
        </w:rPr>
        <w:t xml:space="preserve"> 12 k Flex real-time systems and one Open Array </w:t>
      </w:r>
      <w:proofErr w:type="spellStart"/>
      <w:r w:rsidRPr="00174AF5">
        <w:rPr>
          <w:rFonts w:ascii="Arial" w:eastAsia="Calibri" w:hAnsi="Arial" w:cs="Arial"/>
          <w:sz w:val="22"/>
          <w:szCs w:val="22"/>
          <w14:ligatures w14:val="standardContextual"/>
        </w:rPr>
        <w:t>AccuFill</w:t>
      </w:r>
      <w:proofErr w:type="spellEnd"/>
      <w:r w:rsidRPr="00174AF5">
        <w:rPr>
          <w:rFonts w:ascii="Arial" w:eastAsia="Calibri" w:hAnsi="Arial" w:cs="Arial"/>
          <w:sz w:val="22"/>
          <w:szCs w:val="22"/>
          <w14:ligatures w14:val="standardContextual"/>
        </w:rPr>
        <w:t xml:space="preserve"> station, a 96 well 3730xl DNA Sanger sequencer, two 96 well </w:t>
      </w:r>
      <w:proofErr w:type="spellStart"/>
      <w:r w:rsidRPr="00174AF5">
        <w:rPr>
          <w:rFonts w:ascii="Arial" w:eastAsia="Calibri" w:hAnsi="Arial" w:cs="Arial"/>
          <w:sz w:val="22"/>
          <w:szCs w:val="22"/>
          <w14:ligatures w14:val="standardContextual"/>
        </w:rPr>
        <w:t>ddPCR</w:t>
      </w:r>
      <w:proofErr w:type="spellEnd"/>
      <w:r w:rsidRPr="00174AF5">
        <w:rPr>
          <w:rFonts w:ascii="Arial" w:eastAsia="Calibri" w:hAnsi="Arial" w:cs="Arial"/>
          <w:sz w:val="22"/>
          <w:szCs w:val="22"/>
          <w14:ligatures w14:val="standardContextual"/>
        </w:rPr>
        <w:t xml:space="preserve"> Automated Droplet Generators, two C1000 Touch Thermal Cycler and two </w:t>
      </w:r>
      <w:proofErr w:type="spellStart"/>
      <w:r w:rsidRPr="00174AF5">
        <w:rPr>
          <w:rFonts w:ascii="Arial" w:eastAsia="Calibri" w:hAnsi="Arial" w:cs="Arial"/>
          <w:sz w:val="22"/>
          <w:szCs w:val="22"/>
          <w14:ligatures w14:val="standardContextual"/>
        </w:rPr>
        <w:t>ddPCR</w:t>
      </w:r>
      <w:proofErr w:type="spellEnd"/>
      <w:r w:rsidRPr="00174AF5">
        <w:rPr>
          <w:rFonts w:ascii="Arial" w:eastAsia="Calibri" w:hAnsi="Arial" w:cs="Arial"/>
          <w:sz w:val="22"/>
          <w:szCs w:val="22"/>
          <w14:ligatures w14:val="standardContextual"/>
        </w:rPr>
        <w:t xml:space="preserve"> QX 200 Droplet Reader, as well as agarose gel electrophoresis equipment and other miscellaneous </w:t>
      </w:r>
      <w:r w:rsidRPr="00174AF5">
        <w:rPr>
          <w:rFonts w:ascii="Arial" w:eastAsia="Calibri" w:hAnsi="Arial" w:cs="Arial"/>
          <w:sz w:val="22"/>
          <w:szCs w:val="22"/>
          <w14:ligatures w14:val="standardContextual"/>
        </w:rPr>
        <w:lastRenderedPageBreak/>
        <w:t xml:space="preserve">equipment, including centrifuges to carry out the analyses described above. The laboratory has three designated tissue culture rooms with four </w:t>
      </w:r>
      <w:proofErr w:type="spellStart"/>
      <w:r w:rsidRPr="00174AF5">
        <w:rPr>
          <w:rFonts w:ascii="Arial" w:eastAsia="Calibri" w:hAnsi="Arial" w:cs="Arial"/>
          <w:sz w:val="22"/>
          <w:szCs w:val="22"/>
          <w14:ligatures w14:val="standardContextual"/>
        </w:rPr>
        <w:t>Heracell</w:t>
      </w:r>
      <w:proofErr w:type="spellEnd"/>
      <w:r w:rsidRPr="00174AF5">
        <w:rPr>
          <w:rFonts w:ascii="Arial" w:eastAsia="Calibri" w:hAnsi="Arial" w:cs="Arial"/>
          <w:sz w:val="22"/>
          <w:szCs w:val="22"/>
          <w14:ligatures w14:val="standardContextual"/>
        </w:rPr>
        <w:t xml:space="preserve"> </w:t>
      </w:r>
      <w:proofErr w:type="spellStart"/>
      <w:r w:rsidRPr="00174AF5">
        <w:rPr>
          <w:rFonts w:ascii="Arial" w:eastAsia="Calibri" w:hAnsi="Arial" w:cs="Arial"/>
          <w:sz w:val="22"/>
          <w:szCs w:val="22"/>
          <w14:ligatures w14:val="standardContextual"/>
        </w:rPr>
        <w:t>Vios</w:t>
      </w:r>
      <w:proofErr w:type="spellEnd"/>
      <w:r w:rsidRPr="00174AF5">
        <w:rPr>
          <w:rFonts w:ascii="Arial" w:eastAsia="Calibri" w:hAnsi="Arial" w:cs="Arial"/>
          <w:sz w:val="22"/>
          <w:szCs w:val="22"/>
          <w14:ligatures w14:val="standardContextual"/>
        </w:rPr>
        <w:t xml:space="preserve"> 160i incubators and two biosafety cabinets (BSC) each, as well as a designated DNA/RNA extraction room, equipped with two BSCs for BSL-2 work.</w:t>
      </w:r>
    </w:p>
    <w:p w14:paraId="6063035C" w14:textId="77777777" w:rsidR="00174AF5" w:rsidRPr="00174AF5" w:rsidRDefault="00174AF5" w:rsidP="00174AF5">
      <w:pPr>
        <w:spacing w:after="120"/>
        <w:rPr>
          <w:rFonts w:ascii="Arial" w:eastAsia="Calibri" w:hAnsi="Arial" w:cs="Arial"/>
          <w:sz w:val="22"/>
          <w:szCs w:val="22"/>
          <w14:ligatures w14:val="standardContextual"/>
        </w:rPr>
      </w:pPr>
      <w:r w:rsidRPr="00174AF5">
        <w:rPr>
          <w:rFonts w:ascii="Arial" w:eastAsia="Calibri" w:hAnsi="Arial" w:cs="Arial"/>
          <w:sz w:val="22"/>
          <w:szCs w:val="22"/>
          <w14:ligatures w14:val="standardContextual"/>
        </w:rPr>
        <w:t xml:space="preserve">Finally, the Pharmacogenetics and Pharmacogenomics laboratory hosts the </w:t>
      </w:r>
      <w:proofErr w:type="spellStart"/>
      <w:r w:rsidRPr="00174AF5">
        <w:rPr>
          <w:rFonts w:ascii="Arial" w:eastAsia="Calibri" w:hAnsi="Arial" w:cs="Arial"/>
          <w:sz w:val="22"/>
          <w:szCs w:val="22"/>
          <w14:ligatures w14:val="standardContextual"/>
        </w:rPr>
        <w:t>Pharmacogene</w:t>
      </w:r>
      <w:proofErr w:type="spellEnd"/>
      <w:r w:rsidRPr="00174AF5">
        <w:rPr>
          <w:rFonts w:ascii="Arial" w:eastAsia="Calibri" w:hAnsi="Arial" w:cs="Arial"/>
          <w:sz w:val="22"/>
          <w:szCs w:val="22"/>
          <w14:ligatures w14:val="standardContextual"/>
        </w:rPr>
        <w:t xml:space="preserve"> Variation (</w:t>
      </w:r>
      <w:proofErr w:type="spellStart"/>
      <w:r w:rsidRPr="00174AF5">
        <w:rPr>
          <w:rFonts w:ascii="Arial" w:eastAsia="Calibri" w:hAnsi="Arial" w:cs="Arial"/>
          <w:sz w:val="22"/>
          <w:szCs w:val="22"/>
          <w14:ligatures w14:val="standardContextual"/>
        </w:rPr>
        <w:t>PharmVar</w:t>
      </w:r>
      <w:proofErr w:type="spellEnd"/>
      <w:r w:rsidRPr="00174AF5">
        <w:rPr>
          <w:rFonts w:ascii="Arial" w:eastAsia="Calibri" w:hAnsi="Arial" w:cs="Arial"/>
          <w:sz w:val="22"/>
          <w:szCs w:val="22"/>
          <w14:ligatures w14:val="standardContextual"/>
        </w:rPr>
        <w:t xml:space="preserve">) Consortium, a central repository for </w:t>
      </w:r>
      <w:proofErr w:type="spellStart"/>
      <w:r w:rsidRPr="00174AF5">
        <w:rPr>
          <w:rFonts w:ascii="Arial" w:eastAsia="Calibri" w:hAnsi="Arial" w:cs="Arial"/>
          <w:sz w:val="22"/>
          <w:szCs w:val="22"/>
          <w14:ligatures w14:val="standardContextual"/>
        </w:rPr>
        <w:t>pharmacogene</w:t>
      </w:r>
      <w:proofErr w:type="spellEnd"/>
      <w:r w:rsidRPr="00174AF5">
        <w:rPr>
          <w:rFonts w:ascii="Arial" w:eastAsia="Calibri" w:hAnsi="Arial" w:cs="Arial"/>
          <w:sz w:val="22"/>
          <w:szCs w:val="22"/>
          <w14:ligatures w14:val="standardContextual"/>
        </w:rPr>
        <w:t xml:space="preserve"> (PGx) variation that focuses on haplotype structure and allelic variation (Andrea Gaedigk, PhD, PI; </w:t>
      </w:r>
      <w:hyperlink r:id="rId14" w:history="1">
        <w:r w:rsidRPr="00174AF5">
          <w:rPr>
            <w:rFonts w:ascii="Arial" w:eastAsia="Calibri" w:hAnsi="Arial" w:cs="Arial"/>
            <w:color w:val="0563C1"/>
            <w:sz w:val="22"/>
            <w:szCs w:val="22"/>
            <w:u w:val="single"/>
            <w14:ligatures w14:val="standardContextual"/>
          </w:rPr>
          <w:t>https://www.pharmvar.org/</w:t>
        </w:r>
      </w:hyperlink>
      <w:r w:rsidRPr="00174AF5">
        <w:rPr>
          <w:rFonts w:ascii="Arial" w:eastAsia="Calibri" w:hAnsi="Arial" w:cs="Arial"/>
          <w:sz w:val="22"/>
          <w:szCs w:val="22"/>
          <w14:ligatures w14:val="standardContextual"/>
        </w:rPr>
        <w:t xml:space="preserve">).  Allele nomenclature for cytochrome P450 (CYP genes) formerly available as the CYP Allele Nomenclature Database at the Karolinska Institute in Stockholm Sweden have been transferred to </w:t>
      </w:r>
      <w:proofErr w:type="spellStart"/>
      <w:r w:rsidRPr="00174AF5">
        <w:rPr>
          <w:rFonts w:ascii="Arial" w:eastAsia="Calibri" w:hAnsi="Arial" w:cs="Arial"/>
          <w:sz w:val="22"/>
          <w:szCs w:val="22"/>
          <w14:ligatures w14:val="standardContextual"/>
        </w:rPr>
        <w:t>PharmVar</w:t>
      </w:r>
      <w:proofErr w:type="spellEnd"/>
      <w:r w:rsidRPr="00174AF5">
        <w:rPr>
          <w:rFonts w:ascii="Arial" w:eastAsia="Calibri" w:hAnsi="Arial" w:cs="Arial"/>
          <w:sz w:val="22"/>
          <w:szCs w:val="22"/>
          <w14:ligatures w14:val="standardContextual"/>
        </w:rPr>
        <w:t xml:space="preserve"> at Children’s Mercy Research Institute, and the list of genes and allelic variants provided has been extended beyond the </w:t>
      </w:r>
      <w:r w:rsidRPr="00174AF5">
        <w:rPr>
          <w:rFonts w:ascii="Arial" w:eastAsia="Calibri" w:hAnsi="Arial" w:cs="Arial"/>
          <w:i/>
          <w:iCs/>
          <w:sz w:val="22"/>
          <w:szCs w:val="22"/>
          <w14:ligatures w14:val="standardContextual"/>
        </w:rPr>
        <w:t xml:space="preserve">CYP </w:t>
      </w:r>
      <w:r w:rsidRPr="00174AF5">
        <w:rPr>
          <w:rFonts w:ascii="Arial" w:eastAsia="Calibri" w:hAnsi="Arial" w:cs="Arial"/>
          <w:sz w:val="22"/>
          <w:szCs w:val="22"/>
          <w14:ligatures w14:val="standardContextual"/>
        </w:rPr>
        <w:t xml:space="preserve">genes.  The information housed in </w:t>
      </w:r>
      <w:proofErr w:type="spellStart"/>
      <w:r w:rsidRPr="00174AF5">
        <w:rPr>
          <w:rFonts w:ascii="Arial" w:eastAsia="Calibri" w:hAnsi="Arial" w:cs="Arial"/>
          <w:sz w:val="22"/>
          <w:szCs w:val="22"/>
          <w14:ligatures w14:val="standardContextual"/>
        </w:rPr>
        <w:t>PharmVar</w:t>
      </w:r>
      <w:proofErr w:type="spellEnd"/>
      <w:r w:rsidRPr="00174AF5">
        <w:rPr>
          <w:rFonts w:ascii="Arial" w:eastAsia="Calibri" w:hAnsi="Arial" w:cs="Arial"/>
          <w:sz w:val="22"/>
          <w:szCs w:val="22"/>
          <w14:ligatures w14:val="standardContextual"/>
        </w:rPr>
        <w:t xml:space="preserve"> facilitates basic and clinical research as well as the interpretation of pharmacogenetic test results to guide precision medicine, including support of guidelines published by the Clinical Pharmacogenetics Implementation Consortium (CPIC).  </w:t>
      </w:r>
    </w:p>
    <w:p w14:paraId="5184D10A" w14:textId="77777777" w:rsidR="00174AF5" w:rsidRPr="00174AF5" w:rsidRDefault="00174AF5" w:rsidP="00174AF5">
      <w:pPr>
        <w:rPr>
          <w:rFonts w:ascii="Calibri" w:eastAsia="Calibri" w:hAnsi="Calibri" w:cs="Calibri"/>
          <w:sz w:val="22"/>
          <w:szCs w:val="22"/>
          <w14:ligatures w14:val="standardContextual"/>
        </w:rPr>
      </w:pPr>
    </w:p>
    <w:p w14:paraId="54CE2C5A" w14:textId="1F423892" w:rsidR="0089346D" w:rsidRPr="0089346D" w:rsidRDefault="00AF0D32" w:rsidP="000607DB">
      <w:pPr>
        <w:spacing w:before="240" w:after="120"/>
        <w:rPr>
          <w:rFonts w:ascii="Arial" w:hAnsi="Arial" w:cs="Arial"/>
          <w:b/>
          <w:bCs/>
          <w:sz w:val="22"/>
          <w:szCs w:val="22"/>
        </w:rPr>
      </w:pPr>
      <w:r>
        <w:rPr>
          <w:rFonts w:ascii="Arial" w:hAnsi="Arial" w:cs="Arial"/>
          <w:b/>
          <w:bCs/>
          <w:sz w:val="22"/>
          <w:szCs w:val="22"/>
        </w:rPr>
        <w:t>Health Services and Outcomes Research</w:t>
      </w:r>
    </w:p>
    <w:p w14:paraId="26C98A0D" w14:textId="77777777" w:rsidR="00E631CE" w:rsidRPr="00E631CE" w:rsidRDefault="00E631CE" w:rsidP="00E631CE">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eastAsia="Batang" w:hAnsi="Arial" w:cs="Arial"/>
          <w:color w:val="000000" w:themeColor="text1"/>
          <w:sz w:val="22"/>
          <w:szCs w:val="22"/>
          <w:lang w:val="en-CA" w:eastAsia="ko-KR"/>
        </w:rPr>
      </w:pPr>
      <w:r w:rsidRPr="00E631CE">
        <w:rPr>
          <w:rFonts w:ascii="Arial" w:eastAsia="Batang" w:hAnsi="Arial" w:cs="Arial"/>
          <w:noProof/>
          <w:color w:val="000000" w:themeColor="text1"/>
          <w:sz w:val="22"/>
          <w:szCs w:val="22"/>
          <w:lang w:val="en-CA" w:eastAsia="ko-KR"/>
        </w:rPr>
        <w:drawing>
          <wp:anchor distT="0" distB="0" distL="114300" distR="114300" simplePos="0" relativeHeight="251660288" behindDoc="1" locked="0" layoutInCell="1" allowOverlap="1" wp14:anchorId="73F97C22" wp14:editId="451C2A53">
            <wp:simplePos x="0" y="0"/>
            <wp:positionH relativeFrom="column">
              <wp:posOffset>5913120</wp:posOffset>
            </wp:positionH>
            <wp:positionV relativeFrom="paragraph">
              <wp:posOffset>4445</wp:posOffset>
            </wp:positionV>
            <wp:extent cx="853440" cy="848360"/>
            <wp:effectExtent l="0" t="0" r="3810" b="8890"/>
            <wp:wrapTight wrapText="bothSides">
              <wp:wrapPolygon edited="0">
                <wp:start x="0" y="0"/>
                <wp:lineTo x="0" y="21341"/>
                <wp:lineTo x="21214" y="21341"/>
                <wp:lineTo x="21214" y="0"/>
                <wp:lineTo x="0" y="0"/>
              </wp:wrapPolygon>
            </wp:wrapTight>
            <wp:docPr id="2" name="Picture 2" descr="page1image1632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63249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53440" cy="848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31CE">
        <w:rPr>
          <w:rFonts w:ascii="Arial" w:eastAsia="Batang" w:hAnsi="Arial" w:cs="Arial"/>
          <w:color w:val="000000" w:themeColor="text1"/>
          <w:sz w:val="22"/>
          <w:szCs w:val="22"/>
          <w:lang w:val="en-CA" w:eastAsia="ko-KR"/>
        </w:rPr>
        <w:t xml:space="preserve">The Population Health Area of Emphasis (AOE) aims to accelerate the discovery and development of effective healthcare solutions and dissemination of evidence-based practices to benefit the health of children and families locally and around the globe. To support the health of our population we utilize transdisciplinary teams with expertise and perspectives not traditionally found in hospital settings. The Population Health team is comprised of experts in biostatistics and epidemiology, bilingual/bicultural translation, community engaged research, data science, formative research, social and behavioral health, health disparities, health economics, and implementation science. Team members lead and contribute to numerous NIH funded transdisciplinary research projects, provide educational seminars in their areas of expertise and mentor junior faculty and trainees. The team is housed in 7,390 sq ft on the second floor of the CMRI Research Building and additional space in the adjacent Sutherland Tower of the Adele Hall Hospital campus.  All team members have office space, computers, printers, </w:t>
      </w:r>
      <w:proofErr w:type="gramStart"/>
      <w:r w:rsidRPr="00E631CE">
        <w:rPr>
          <w:rFonts w:ascii="Arial" w:eastAsia="Batang" w:hAnsi="Arial" w:cs="Arial"/>
          <w:color w:val="000000" w:themeColor="text1"/>
          <w:sz w:val="22"/>
          <w:szCs w:val="22"/>
          <w:lang w:val="en-CA" w:eastAsia="ko-KR"/>
        </w:rPr>
        <w:t>scanners</w:t>
      </w:r>
      <w:proofErr w:type="gramEnd"/>
      <w:r w:rsidRPr="00E631CE">
        <w:rPr>
          <w:rFonts w:ascii="Arial" w:eastAsia="Batang" w:hAnsi="Arial" w:cs="Arial"/>
          <w:color w:val="000000" w:themeColor="text1"/>
          <w:sz w:val="22"/>
          <w:szCs w:val="22"/>
          <w:lang w:val="en-CA" w:eastAsia="ko-KR"/>
        </w:rPr>
        <w:t xml:space="preserve"> and video conferencing facilities. The team is also provided with administrative and financial management support. Key cores/programs within Population Health include the Biostatistics and Epidemiology Core, the Community Engaged Research Group, the Formative Research Team, the Bilingual/Bicultural Translation Team and the Center for Children’s Healthy Lifestyles and Nutrition.</w:t>
      </w:r>
    </w:p>
    <w:p w14:paraId="4422FCDD" w14:textId="77777777" w:rsidR="00885156" w:rsidRDefault="00E631CE" w:rsidP="00E631CE">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eastAsia="Batang" w:hAnsi="Arial" w:cs="Arial"/>
          <w:color w:val="000000" w:themeColor="text1"/>
          <w:sz w:val="22"/>
          <w:szCs w:val="22"/>
          <w:lang w:eastAsia="ko-KR"/>
        </w:rPr>
      </w:pPr>
      <w:r w:rsidRPr="00E631CE">
        <w:rPr>
          <w:rFonts w:ascii="Arial" w:eastAsia="Batang" w:hAnsi="Arial" w:cs="Arial"/>
          <w:color w:val="000000" w:themeColor="text1"/>
          <w:sz w:val="22"/>
          <w:szCs w:val="22"/>
          <w:u w:val="single"/>
          <w:lang w:eastAsia="ko-KR"/>
        </w:rPr>
        <w:t>The Biostatistics and Epidemiology Core</w:t>
      </w:r>
      <w:r w:rsidRPr="00E631CE">
        <w:rPr>
          <w:rFonts w:ascii="Arial" w:eastAsia="Batang" w:hAnsi="Arial" w:cs="Arial"/>
          <w:color w:val="000000" w:themeColor="text1"/>
          <w:sz w:val="22"/>
          <w:szCs w:val="22"/>
          <w:lang w:eastAsia="ko-KR"/>
        </w:rPr>
        <w:t xml:space="preserve">: The Biostatistics and Epidemiology Core (BEC) contributes to the mission of the Children’s Mercy Research Institute (CMRI) by carrying out original research, providing statistics education and research mentoring, and serving the scientific community locally, nationally, and internationally. Located on the second floor of the CMRI building shared by HSOR and the Data Science and Informatics group, the BEC comprises five PhD research faculty and two Master’s-level biostatisticians. BEC personnel serve as lead investigators in their own lines of research and collaborate with investigators at Children’s Mercy and around the world. </w:t>
      </w:r>
      <w:r w:rsidR="00885156" w:rsidRPr="00885156">
        <w:rPr>
          <w:rFonts w:ascii="Arial" w:eastAsia="Batang" w:hAnsi="Arial" w:cs="Arial"/>
          <w:color w:val="000000" w:themeColor="text1"/>
          <w:sz w:val="22"/>
          <w:szCs w:val="22"/>
          <w:lang w:eastAsia="ko-KR"/>
        </w:rPr>
        <w:t>Areas of faculty expertise include study design (including clinical trial design), linear and generalized linear models, mixed models for longitudinal or clustered data. Bayesian statistics, bootstrap methods, epidemiology, latent variable analysis, machine learning and statistical genomics.</w:t>
      </w:r>
    </w:p>
    <w:p w14:paraId="552C5007" w14:textId="71D2EEE0" w:rsidR="00E631CE" w:rsidRPr="00E631CE" w:rsidRDefault="00E631CE" w:rsidP="00E631CE">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eastAsia="Batang" w:hAnsi="Arial" w:cs="Arial"/>
          <w:color w:val="000000" w:themeColor="text1"/>
          <w:sz w:val="22"/>
          <w:szCs w:val="22"/>
          <w:lang w:val="en-CA" w:eastAsia="ko-KR"/>
        </w:rPr>
      </w:pPr>
      <w:r w:rsidRPr="00E631CE">
        <w:rPr>
          <w:rFonts w:ascii="Arial" w:eastAsia="Batang" w:hAnsi="Arial" w:cs="Arial"/>
          <w:color w:val="000000" w:themeColor="text1"/>
          <w:sz w:val="22"/>
          <w:szCs w:val="22"/>
          <w:u w:val="single"/>
          <w:lang w:val="en-CA" w:eastAsia="ko-KR"/>
        </w:rPr>
        <w:t>The Community Engaged Research Group:</w:t>
      </w:r>
      <w:r w:rsidRPr="00E631CE">
        <w:rPr>
          <w:rFonts w:ascii="Arial" w:eastAsia="Batang" w:hAnsi="Arial" w:cs="Arial"/>
          <w:color w:val="000000" w:themeColor="text1"/>
          <w:sz w:val="22"/>
          <w:szCs w:val="22"/>
          <w:lang w:val="en-CA" w:eastAsia="ko-KR"/>
        </w:rPr>
        <w:t xml:space="preserve"> The Community Engaged Research Team works collaboratively with research teams to engage patients, families, and community members in all phases and types of research. This includes providing training and support to researchers and stakeholders in the practice of community engagement and facilitating ongoing community engagement through the CMRI Community Advisory Board (CAB) to ensure that studies benefit from the insights of those they hope to impact. The CMRI CAB advises research teams on patient-centered study designs, inclusive recruitment methods, and broad dissemination channels.  </w:t>
      </w:r>
    </w:p>
    <w:p w14:paraId="20070EE3" w14:textId="77777777" w:rsidR="00E631CE" w:rsidRPr="00E631CE" w:rsidRDefault="00E631CE" w:rsidP="00E631CE">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eastAsia="Batang" w:hAnsi="Arial" w:cs="Arial"/>
          <w:color w:val="000000" w:themeColor="text1"/>
          <w:sz w:val="22"/>
          <w:szCs w:val="22"/>
          <w:lang w:val="en-CA" w:eastAsia="ko-KR"/>
        </w:rPr>
      </w:pPr>
      <w:r w:rsidRPr="00E631CE">
        <w:rPr>
          <w:rFonts w:ascii="Arial" w:eastAsia="Batang" w:hAnsi="Arial" w:cs="Arial"/>
          <w:color w:val="000000" w:themeColor="text1"/>
          <w:sz w:val="22"/>
          <w:szCs w:val="22"/>
          <w:u w:val="single"/>
          <w:lang w:val="en-CA" w:eastAsia="ko-KR"/>
        </w:rPr>
        <w:t>The Formative Research Team:</w:t>
      </w:r>
      <w:r w:rsidRPr="00E631CE">
        <w:rPr>
          <w:rFonts w:ascii="Arial" w:eastAsia="Batang" w:hAnsi="Arial" w:cs="Arial"/>
          <w:color w:val="000000" w:themeColor="text1"/>
          <w:sz w:val="22"/>
          <w:szCs w:val="22"/>
          <w:lang w:val="en-CA" w:eastAsia="ko-KR"/>
        </w:rPr>
        <w:t xml:space="preserve"> This Formative Research Team (FRT) applies its expertise in social and behavioral theories, qualitative interviews, focus groups and rigorous survey development to conduct the formative research necessary for designing new health interventions and enhancing understanding of quantitative outcomes.  The FRT offers technical consultations, collaborations, and trainings to multidisciplinary research groups within and beyond Children’s Mercy. Every spring, the team offers five-part skills-based workshop series in formative methods (even years) and qualitative methods (odd years).</w:t>
      </w:r>
    </w:p>
    <w:p w14:paraId="49D2D4FC" w14:textId="77777777" w:rsidR="00E631CE" w:rsidRPr="00E631CE" w:rsidRDefault="00E631CE" w:rsidP="00E631CE">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eastAsia="Batang" w:hAnsi="Arial" w:cs="Arial"/>
          <w:color w:val="000000" w:themeColor="text1"/>
          <w:sz w:val="22"/>
          <w:szCs w:val="22"/>
          <w:lang w:val="en-CA" w:eastAsia="ko-KR"/>
        </w:rPr>
      </w:pPr>
      <w:r w:rsidRPr="00E631CE">
        <w:rPr>
          <w:rFonts w:ascii="Arial" w:eastAsia="Batang" w:hAnsi="Arial" w:cs="Arial"/>
          <w:color w:val="000000" w:themeColor="text1"/>
          <w:sz w:val="22"/>
          <w:szCs w:val="22"/>
          <w:u w:val="single"/>
          <w:lang w:val="en-CA" w:eastAsia="ko-KR"/>
        </w:rPr>
        <w:lastRenderedPageBreak/>
        <w:t>The Bilingual/Bicultural Translation Team</w:t>
      </w:r>
      <w:r w:rsidRPr="00E631CE">
        <w:rPr>
          <w:rFonts w:ascii="Arial" w:eastAsia="Batang" w:hAnsi="Arial" w:cs="Arial"/>
          <w:color w:val="000000" w:themeColor="text1"/>
          <w:sz w:val="22"/>
          <w:szCs w:val="22"/>
          <w:lang w:val="en-CA" w:eastAsia="ko-KR"/>
        </w:rPr>
        <w:t>: This team partners with research groups to apply established cultural and language translation strategies for study measures and materials.</w:t>
      </w:r>
    </w:p>
    <w:p w14:paraId="38419C11" w14:textId="6023347E" w:rsidR="00E631CE" w:rsidRPr="00E631CE" w:rsidRDefault="00E631CE" w:rsidP="00E631CE">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eastAsia="Batang" w:hAnsi="Arial" w:cs="Arial"/>
          <w:color w:val="000000" w:themeColor="text1"/>
          <w:sz w:val="22"/>
          <w:szCs w:val="22"/>
          <w:lang w:eastAsia="ko-KR"/>
        </w:rPr>
      </w:pPr>
      <w:r w:rsidRPr="00E631CE">
        <w:rPr>
          <w:rFonts w:ascii="Arial" w:eastAsia="Batang" w:hAnsi="Arial" w:cs="Arial"/>
          <w:color w:val="000000" w:themeColor="text1"/>
          <w:sz w:val="22"/>
          <w:szCs w:val="22"/>
          <w:u w:val="single"/>
          <w:lang w:eastAsia="ko-KR"/>
        </w:rPr>
        <w:t>The Center for Children’s Healthy Lifestyles &amp; Nutrition:</w:t>
      </w:r>
      <w:r w:rsidRPr="00E631CE">
        <w:rPr>
          <w:rFonts w:ascii="Arial" w:eastAsia="Batang" w:hAnsi="Arial" w:cs="Arial"/>
          <w:color w:val="000000" w:themeColor="text1"/>
          <w:sz w:val="22"/>
          <w:szCs w:val="22"/>
          <w:lang w:eastAsia="ko-KR"/>
        </w:rPr>
        <w:t xml:space="preserve">  The Center for Children’s Healthy Lifestyles &amp; Nutrition (CHLN) is a leader in the local, </w:t>
      </w:r>
      <w:proofErr w:type="gramStart"/>
      <w:r w:rsidRPr="00E631CE">
        <w:rPr>
          <w:rFonts w:ascii="Arial" w:eastAsia="Batang" w:hAnsi="Arial" w:cs="Arial"/>
          <w:color w:val="000000" w:themeColor="text1"/>
          <w:sz w:val="22"/>
          <w:szCs w:val="22"/>
          <w:lang w:eastAsia="ko-KR"/>
        </w:rPr>
        <w:t>regional</w:t>
      </w:r>
      <w:proofErr w:type="gramEnd"/>
      <w:r w:rsidRPr="00E631CE">
        <w:rPr>
          <w:rFonts w:ascii="Arial" w:eastAsia="Batang" w:hAnsi="Arial" w:cs="Arial"/>
          <w:color w:val="000000" w:themeColor="text1"/>
          <w:sz w:val="22"/>
          <w:szCs w:val="22"/>
          <w:lang w:eastAsia="ko-KR"/>
        </w:rPr>
        <w:t xml:space="preserve"> and national movement to prevent and treat childhood obesity. Research currently conducted in the Center includes numerous NIH funded studies of the assessment of genetic, physiologic, behavioral, and policy related influences on children’s healthy lifestyles. The Center serves as an academic hub for research through funding of pilot grants, research staff, student and postdoctoral training programs, academic </w:t>
      </w:r>
      <w:proofErr w:type="gramStart"/>
      <w:r w:rsidRPr="00E631CE">
        <w:rPr>
          <w:rFonts w:ascii="Arial" w:eastAsia="Batang" w:hAnsi="Arial" w:cs="Arial"/>
          <w:color w:val="000000" w:themeColor="text1"/>
          <w:sz w:val="22"/>
          <w:szCs w:val="22"/>
          <w:lang w:eastAsia="ko-KR"/>
        </w:rPr>
        <w:t>seminars</w:t>
      </w:r>
      <w:proofErr w:type="gramEnd"/>
      <w:r w:rsidRPr="00E631CE">
        <w:rPr>
          <w:rFonts w:ascii="Arial" w:eastAsia="Batang" w:hAnsi="Arial" w:cs="Arial"/>
          <w:color w:val="000000" w:themeColor="text1"/>
          <w:sz w:val="22"/>
          <w:szCs w:val="22"/>
          <w:lang w:eastAsia="ko-KR"/>
        </w:rPr>
        <w:t xml:space="preserve"> and infrastructure support for researchers. The Center is jointly supported by Children’s Mercy Kansas City and the University of Kansas Medical Center and is located on the first floor of CMKC’s Don Chisholm Building. The Center is a 14,000-square-foot facility designed to support clinical and bench research, individual clinical and group educational interventions, as well as offices for faculty and research staff. The Center’s 800-square-foot demonstration kitchen features four prep stations, each with a GE Profile refrigerator and microwave. The kitchen contains four oven/stove/exhaust hood combinations and two dishwashers. The 500-square-foot wet lab features extensive countertop space, an exhaust hood and a </w:t>
      </w:r>
      <w:r w:rsidR="00885156" w:rsidRPr="00E631CE">
        <w:rPr>
          <w:rFonts w:ascii="Arial" w:eastAsia="Batang" w:hAnsi="Arial" w:cs="Arial"/>
          <w:color w:val="000000" w:themeColor="text1"/>
          <w:sz w:val="22"/>
          <w:szCs w:val="22"/>
          <w:lang w:eastAsia="ko-KR"/>
        </w:rPr>
        <w:t>-80-degree</w:t>
      </w:r>
      <w:r w:rsidRPr="00E631CE">
        <w:rPr>
          <w:rFonts w:ascii="Arial" w:eastAsia="Batang" w:hAnsi="Arial" w:cs="Arial"/>
          <w:color w:val="000000" w:themeColor="text1"/>
          <w:sz w:val="22"/>
          <w:szCs w:val="22"/>
          <w:lang w:eastAsia="ko-KR"/>
        </w:rPr>
        <w:t xml:space="preserve"> freezer. Testing rooms contain an indirect calorimeter, treadmill and DEXA. Clinical exam rooms and a waiting room are also available. The Center’s 2400-square-foot exercise facility features treadmills, stationary bicycles, elliptical </w:t>
      </w:r>
      <w:proofErr w:type="gramStart"/>
      <w:r w:rsidRPr="00E631CE">
        <w:rPr>
          <w:rFonts w:ascii="Arial" w:eastAsia="Batang" w:hAnsi="Arial" w:cs="Arial"/>
          <w:color w:val="000000" w:themeColor="text1"/>
          <w:sz w:val="22"/>
          <w:szCs w:val="22"/>
          <w:lang w:eastAsia="ko-KR"/>
        </w:rPr>
        <w:t>trainers</w:t>
      </w:r>
      <w:proofErr w:type="gramEnd"/>
      <w:r w:rsidRPr="00E631CE">
        <w:rPr>
          <w:rFonts w:ascii="Arial" w:eastAsia="Batang" w:hAnsi="Arial" w:cs="Arial"/>
          <w:color w:val="000000" w:themeColor="text1"/>
          <w:sz w:val="22"/>
          <w:szCs w:val="22"/>
          <w:lang w:eastAsia="ko-KR"/>
        </w:rPr>
        <w:t xml:space="preserve"> and weight machines, and has a large area for group physical activity. Locker rooms, showers and laundry facilities are also available. The Center provides conference room facilities for 10-50 attendees. </w:t>
      </w:r>
    </w:p>
    <w:p w14:paraId="480D0DD2" w14:textId="77777777" w:rsidR="00E631CE" w:rsidRPr="00E631CE" w:rsidRDefault="00E631CE" w:rsidP="00E631CE">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eastAsia="Batang" w:hAnsi="Arial" w:cs="Arial"/>
          <w:color w:val="000000" w:themeColor="text1"/>
          <w:sz w:val="22"/>
          <w:szCs w:val="22"/>
          <w:lang w:eastAsia="ko-KR"/>
        </w:rPr>
      </w:pPr>
      <w:r w:rsidRPr="00E631CE">
        <w:rPr>
          <w:rFonts w:ascii="Arial" w:eastAsia="Batang" w:hAnsi="Arial" w:cs="Arial"/>
          <w:color w:val="000000" w:themeColor="text1"/>
          <w:sz w:val="22"/>
          <w:szCs w:val="22"/>
          <w:u w:val="single"/>
          <w:lang w:eastAsia="ko-KR"/>
        </w:rPr>
        <w:t>Field-Based Physical Activity Measurement Core at Children’s Mercy</w:t>
      </w:r>
    </w:p>
    <w:p w14:paraId="5E5E4C1C" w14:textId="37D7FC5E" w:rsidR="005E35FC" w:rsidRDefault="00E631CE" w:rsidP="00E631CE">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b/>
          <w:sz w:val="22"/>
          <w:szCs w:val="22"/>
        </w:rPr>
      </w:pPr>
      <w:r w:rsidRPr="00E631CE">
        <w:rPr>
          <w:rFonts w:ascii="Arial" w:eastAsia="Batang" w:hAnsi="Arial" w:cs="Arial"/>
          <w:color w:val="000000" w:themeColor="text1"/>
          <w:sz w:val="22"/>
          <w:szCs w:val="22"/>
          <w:lang w:eastAsia="ko-KR"/>
        </w:rPr>
        <w:t xml:space="preserve">The purpose of the Field-Based Physical Activity Measurement Core is to increase feasibility and capacity for conducting high-quality physical activity research among Children’s Mercy investigators. The Field-Based Physical Activity Measurement Core offers data collection and processing services for field-based physical activity-related projects (physical activity measurements with clinical or community research participants using accelerometers or similar person-worn monitors). The core has substantial expertise in using various field-based physical activity monitors. The core’s services span data collection planning, distribution and management of monitors, data processing, and consulting. The team has expertise in using multiple data processing systems and software and a library of detailed data processing protocols, tools, and macros that can be customized for various purposes and projects. The core supports measurement, observational, and intervention research and the core’s leadership has supported physical activity measurement for numerous NIH-funded studies, both locally in the Kansas City area and across the US. In addition to supporting the application of physical activity measurement in various projects, the core’s leadership has led and contributed to the development and/or testing of new measurement monitors, algorithms, and systems. The core has substantial expertise with </w:t>
      </w:r>
      <w:proofErr w:type="spellStart"/>
      <w:r w:rsidRPr="00E631CE">
        <w:rPr>
          <w:rFonts w:ascii="Arial" w:eastAsia="Batang" w:hAnsi="Arial" w:cs="Arial"/>
          <w:color w:val="000000" w:themeColor="text1"/>
          <w:sz w:val="22"/>
          <w:szCs w:val="22"/>
          <w:lang w:eastAsia="ko-KR"/>
        </w:rPr>
        <w:t>ActiGraph</w:t>
      </w:r>
      <w:proofErr w:type="spellEnd"/>
      <w:r w:rsidRPr="00E631CE">
        <w:rPr>
          <w:rFonts w:ascii="Arial" w:eastAsia="Batang" w:hAnsi="Arial" w:cs="Arial"/>
          <w:color w:val="000000" w:themeColor="text1"/>
          <w:sz w:val="22"/>
          <w:szCs w:val="22"/>
          <w:lang w:eastAsia="ko-KR"/>
        </w:rPr>
        <w:t xml:space="preserve"> monitors, among others. The core is supported by the Children’s Mercy Research institute and maintains inexpensive pricing in effort to expand the reach of physical activity research among local institutions.</w:t>
      </w:r>
    </w:p>
    <w:p w14:paraId="1AC375AC" w14:textId="3A6DD6E2" w:rsidR="006B6EF0" w:rsidRDefault="00760719" w:rsidP="001F3253">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b/>
          <w:sz w:val="22"/>
          <w:szCs w:val="22"/>
        </w:rPr>
      </w:pPr>
      <w:r>
        <w:rPr>
          <w:rFonts w:ascii="Arial" w:hAnsi="Arial" w:cs="Arial"/>
          <w:b/>
          <w:sz w:val="22"/>
          <w:szCs w:val="22"/>
        </w:rPr>
        <w:t xml:space="preserve">Health Care </w:t>
      </w:r>
      <w:r w:rsidR="00890B73">
        <w:rPr>
          <w:rFonts w:ascii="Arial" w:hAnsi="Arial" w:cs="Arial"/>
          <w:b/>
          <w:sz w:val="22"/>
          <w:szCs w:val="22"/>
        </w:rPr>
        <w:t>Innovation</w:t>
      </w:r>
    </w:p>
    <w:p w14:paraId="7F1E7525" w14:textId="7582A810" w:rsidR="00E87042" w:rsidRPr="00E87042" w:rsidRDefault="00E87042" w:rsidP="00E87042">
      <w:pPr>
        <w:rPr>
          <w:rFonts w:ascii="Arial" w:hAnsi="Arial" w:cs="Arial"/>
          <w:bCs/>
          <w:sz w:val="22"/>
          <w:szCs w:val="22"/>
        </w:rPr>
      </w:pPr>
      <w:r w:rsidRPr="00E87042">
        <w:rPr>
          <w:rFonts w:ascii="Arial" w:hAnsi="Arial" w:cs="Arial"/>
          <w:bCs/>
          <w:sz w:val="22"/>
          <w:szCs w:val="22"/>
        </w:rPr>
        <w:t xml:space="preserve">The Health Care Innovation AOE was created to foster the identification and articulation of opportunities for the development of products and processes that optimize the medical, </w:t>
      </w:r>
      <w:proofErr w:type="gramStart"/>
      <w:r w:rsidRPr="00E87042">
        <w:rPr>
          <w:rFonts w:ascii="Arial" w:hAnsi="Arial" w:cs="Arial"/>
          <w:bCs/>
          <w:sz w:val="22"/>
          <w:szCs w:val="22"/>
        </w:rPr>
        <w:t>surgical</w:t>
      </w:r>
      <w:proofErr w:type="gramEnd"/>
      <w:r w:rsidRPr="00E87042">
        <w:rPr>
          <w:rFonts w:ascii="Arial" w:hAnsi="Arial" w:cs="Arial"/>
          <w:bCs/>
          <w:sz w:val="22"/>
          <w:szCs w:val="22"/>
        </w:rPr>
        <w:t xml:space="preserve"> and therapeutic management of children. </w:t>
      </w:r>
      <w:r w:rsidR="00C22797">
        <w:rPr>
          <w:rFonts w:ascii="Arial" w:hAnsi="Arial" w:cs="Arial"/>
          <w:bCs/>
          <w:sz w:val="22"/>
          <w:szCs w:val="22"/>
        </w:rPr>
        <w:t xml:space="preserve"> </w:t>
      </w:r>
      <w:r w:rsidR="00760719">
        <w:rPr>
          <w:rFonts w:ascii="Arial" w:hAnsi="Arial" w:cs="Arial"/>
          <w:bCs/>
          <w:sz w:val="22"/>
          <w:szCs w:val="22"/>
        </w:rPr>
        <w:t xml:space="preserve">Occupying </w:t>
      </w:r>
      <w:r w:rsidR="00676B04">
        <w:rPr>
          <w:rFonts w:ascii="Arial" w:hAnsi="Arial" w:cs="Arial"/>
          <w:bCs/>
          <w:sz w:val="22"/>
          <w:szCs w:val="22"/>
        </w:rPr>
        <w:t>1,500 sq ft on the second floor of the CMRI building, s</w:t>
      </w:r>
      <w:r w:rsidRPr="00E87042">
        <w:rPr>
          <w:rFonts w:ascii="Arial" w:hAnsi="Arial" w:cs="Arial"/>
          <w:bCs/>
          <w:sz w:val="22"/>
          <w:szCs w:val="22"/>
        </w:rPr>
        <w:t xml:space="preserve">taff assist innovators with the steps required to align the technological and commercial readiness of their products so that they are well positioned to capitalize on opportunities to advance their innovation. With the assistance of internal partners and external advisors, </w:t>
      </w:r>
      <w:r w:rsidR="00C22797">
        <w:rPr>
          <w:rFonts w:ascii="Arial" w:hAnsi="Arial" w:cs="Arial"/>
          <w:bCs/>
          <w:sz w:val="22"/>
          <w:szCs w:val="22"/>
        </w:rPr>
        <w:t>The Health Care Innovation AOE</w:t>
      </w:r>
      <w:r w:rsidRPr="00E87042">
        <w:rPr>
          <w:rFonts w:ascii="Arial" w:hAnsi="Arial" w:cs="Arial"/>
          <w:bCs/>
          <w:sz w:val="22"/>
          <w:szCs w:val="22"/>
        </w:rPr>
        <w:t>:</w:t>
      </w:r>
    </w:p>
    <w:p w14:paraId="1AE813EE" w14:textId="77777777" w:rsidR="00885156" w:rsidRPr="00E87042" w:rsidRDefault="00885156" w:rsidP="008851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Delineate</w:t>
      </w:r>
      <w:r>
        <w:rPr>
          <w:rFonts w:ascii="Arial" w:hAnsi="Arial" w:cs="Arial"/>
          <w:bCs/>
          <w:sz w:val="22"/>
          <w:szCs w:val="22"/>
        </w:rPr>
        <w:t>s</w:t>
      </w:r>
      <w:r w:rsidRPr="00E87042">
        <w:rPr>
          <w:rFonts w:ascii="Arial" w:hAnsi="Arial" w:cs="Arial"/>
          <w:bCs/>
          <w:sz w:val="22"/>
          <w:szCs w:val="22"/>
        </w:rPr>
        <w:t xml:space="preserve"> and promote</w:t>
      </w:r>
      <w:r>
        <w:rPr>
          <w:rFonts w:ascii="Arial" w:hAnsi="Arial" w:cs="Arial"/>
          <w:bCs/>
          <w:sz w:val="22"/>
          <w:szCs w:val="22"/>
        </w:rPr>
        <w:t>s</w:t>
      </w:r>
      <w:r w:rsidRPr="00E87042">
        <w:rPr>
          <w:rFonts w:ascii="Arial" w:hAnsi="Arial" w:cs="Arial"/>
          <w:bCs/>
          <w:sz w:val="22"/>
          <w:szCs w:val="22"/>
        </w:rPr>
        <w:t xml:space="preserve"> an internal roadmap for the development of healthcare-related research innovations, including but not limited to, devices, drugs, diagnostics, and clinical decision support tools. </w:t>
      </w:r>
    </w:p>
    <w:p w14:paraId="54514490" w14:textId="77777777" w:rsidR="00885156" w:rsidRPr="00E87042" w:rsidRDefault="00885156" w:rsidP="008851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Provide</w:t>
      </w:r>
      <w:r>
        <w:rPr>
          <w:rFonts w:ascii="Arial" w:hAnsi="Arial" w:cs="Arial"/>
          <w:bCs/>
          <w:sz w:val="22"/>
          <w:szCs w:val="22"/>
        </w:rPr>
        <w:t>s</w:t>
      </w:r>
      <w:r w:rsidRPr="00E87042">
        <w:rPr>
          <w:rFonts w:ascii="Arial" w:hAnsi="Arial" w:cs="Arial"/>
          <w:bCs/>
          <w:sz w:val="22"/>
          <w:szCs w:val="22"/>
        </w:rPr>
        <w:t xml:space="preserve"> recommendations for prioritization of internal innovations to CM Research Leadership for allocation of internal resources. </w:t>
      </w:r>
    </w:p>
    <w:p w14:paraId="4CC01D81" w14:textId="77777777" w:rsidR="00885156" w:rsidRPr="00E87042" w:rsidRDefault="00885156" w:rsidP="008851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Advise</w:t>
      </w:r>
      <w:r>
        <w:rPr>
          <w:rFonts w:ascii="Arial" w:hAnsi="Arial" w:cs="Arial"/>
          <w:bCs/>
          <w:sz w:val="22"/>
          <w:szCs w:val="22"/>
        </w:rPr>
        <w:t>s</w:t>
      </w:r>
      <w:r w:rsidRPr="00E87042">
        <w:rPr>
          <w:rFonts w:ascii="Arial" w:hAnsi="Arial" w:cs="Arial"/>
          <w:bCs/>
          <w:sz w:val="22"/>
          <w:szCs w:val="22"/>
        </w:rPr>
        <w:t xml:space="preserve"> CM Research Leadership on all matters related to patent, copyright, and trademark filing.</w:t>
      </w:r>
    </w:p>
    <w:p w14:paraId="0138CBDD" w14:textId="77777777" w:rsidR="00885156" w:rsidRPr="00E87042" w:rsidRDefault="00885156" w:rsidP="008851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Facilitate</w:t>
      </w:r>
      <w:r>
        <w:rPr>
          <w:rFonts w:ascii="Arial" w:hAnsi="Arial" w:cs="Arial"/>
          <w:bCs/>
          <w:sz w:val="22"/>
          <w:szCs w:val="22"/>
        </w:rPr>
        <w:t>s</w:t>
      </w:r>
      <w:r w:rsidRPr="00E87042">
        <w:rPr>
          <w:rFonts w:ascii="Arial" w:hAnsi="Arial" w:cs="Arial"/>
          <w:bCs/>
          <w:sz w:val="22"/>
          <w:szCs w:val="22"/>
        </w:rPr>
        <w:t xml:space="preserve"> intellectual property development with the inventor(s) and relevant institutional partners.</w:t>
      </w:r>
    </w:p>
    <w:p w14:paraId="7AF18345" w14:textId="77777777" w:rsidR="00885156" w:rsidRPr="00E87042" w:rsidRDefault="00885156" w:rsidP="008851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Assist</w:t>
      </w:r>
      <w:r>
        <w:rPr>
          <w:rFonts w:ascii="Arial" w:hAnsi="Arial" w:cs="Arial"/>
          <w:bCs/>
          <w:sz w:val="22"/>
          <w:szCs w:val="22"/>
        </w:rPr>
        <w:t>s</w:t>
      </w:r>
      <w:r w:rsidRPr="00E87042">
        <w:rPr>
          <w:rFonts w:ascii="Arial" w:hAnsi="Arial" w:cs="Arial"/>
          <w:bCs/>
          <w:sz w:val="22"/>
          <w:szCs w:val="22"/>
        </w:rPr>
        <w:t xml:space="preserve"> innovators with the conception and design of trials necessary to advance their innovation.</w:t>
      </w:r>
    </w:p>
    <w:p w14:paraId="1E45F1CB" w14:textId="77777777" w:rsidR="00885156" w:rsidRPr="00E87042" w:rsidRDefault="00885156" w:rsidP="008851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Assess</w:t>
      </w:r>
      <w:r>
        <w:rPr>
          <w:rFonts w:ascii="Arial" w:hAnsi="Arial" w:cs="Arial"/>
          <w:bCs/>
          <w:sz w:val="22"/>
          <w:szCs w:val="22"/>
        </w:rPr>
        <w:t>es</w:t>
      </w:r>
      <w:r w:rsidRPr="00E87042">
        <w:rPr>
          <w:rFonts w:ascii="Arial" w:hAnsi="Arial" w:cs="Arial"/>
          <w:bCs/>
          <w:sz w:val="22"/>
          <w:szCs w:val="22"/>
        </w:rPr>
        <w:t xml:space="preserve"> the technological and commercial readiness of innovations developed at CM.</w:t>
      </w:r>
    </w:p>
    <w:p w14:paraId="7C59C432" w14:textId="77777777" w:rsidR="00885156" w:rsidRPr="00E87042" w:rsidRDefault="00885156" w:rsidP="008851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lastRenderedPageBreak/>
        <w:t>Assist</w:t>
      </w:r>
      <w:r>
        <w:rPr>
          <w:rFonts w:ascii="Arial" w:hAnsi="Arial" w:cs="Arial"/>
          <w:bCs/>
          <w:sz w:val="22"/>
          <w:szCs w:val="22"/>
        </w:rPr>
        <w:t>s</w:t>
      </w:r>
      <w:r w:rsidRPr="00E87042">
        <w:rPr>
          <w:rFonts w:ascii="Arial" w:hAnsi="Arial" w:cs="Arial"/>
          <w:bCs/>
          <w:sz w:val="22"/>
          <w:szCs w:val="22"/>
        </w:rPr>
        <w:t xml:space="preserve"> with the preparation and submission of relevant regulatory documents, including pre-submissions, IND/IDE submissions, de novo submissions, 510k applications, iEdison reports, etc.</w:t>
      </w:r>
    </w:p>
    <w:p w14:paraId="1AC8AEFF" w14:textId="77777777" w:rsidR="00885156" w:rsidRPr="00E87042" w:rsidRDefault="00885156" w:rsidP="008851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Facilitate</w:t>
      </w:r>
      <w:r>
        <w:rPr>
          <w:rFonts w:ascii="Arial" w:hAnsi="Arial" w:cs="Arial"/>
          <w:bCs/>
          <w:sz w:val="22"/>
          <w:szCs w:val="22"/>
        </w:rPr>
        <w:t>s</w:t>
      </w:r>
      <w:r w:rsidRPr="00E87042">
        <w:rPr>
          <w:rFonts w:ascii="Arial" w:hAnsi="Arial" w:cs="Arial"/>
          <w:bCs/>
          <w:sz w:val="22"/>
          <w:szCs w:val="22"/>
        </w:rPr>
        <w:t xml:space="preserve"> the identification of resources necessary to access SBIR and STTR funding opportunities.</w:t>
      </w:r>
    </w:p>
    <w:p w14:paraId="1FEE37CB" w14:textId="77777777" w:rsidR="00885156" w:rsidRPr="00E87042" w:rsidRDefault="00885156" w:rsidP="008851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Assist</w:t>
      </w:r>
      <w:r>
        <w:rPr>
          <w:rFonts w:ascii="Arial" w:hAnsi="Arial" w:cs="Arial"/>
          <w:bCs/>
          <w:sz w:val="22"/>
          <w:szCs w:val="22"/>
        </w:rPr>
        <w:t>s</w:t>
      </w:r>
      <w:r w:rsidRPr="00E87042">
        <w:rPr>
          <w:rFonts w:ascii="Arial" w:hAnsi="Arial" w:cs="Arial"/>
          <w:bCs/>
          <w:sz w:val="22"/>
          <w:szCs w:val="22"/>
        </w:rPr>
        <w:t xml:space="preserve"> in the preparation, review, and refinement (with the inventors) of Market Analyses and Market Opportunities documents.</w:t>
      </w:r>
    </w:p>
    <w:p w14:paraId="10DF2158" w14:textId="77777777" w:rsidR="00885156" w:rsidRPr="00E87042" w:rsidRDefault="00885156" w:rsidP="008851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Advise</w:t>
      </w:r>
      <w:r>
        <w:rPr>
          <w:rFonts w:ascii="Arial" w:hAnsi="Arial" w:cs="Arial"/>
          <w:bCs/>
          <w:sz w:val="22"/>
          <w:szCs w:val="22"/>
        </w:rPr>
        <w:t>s</w:t>
      </w:r>
      <w:r w:rsidRPr="00E87042">
        <w:rPr>
          <w:rFonts w:ascii="Arial" w:hAnsi="Arial" w:cs="Arial"/>
          <w:bCs/>
          <w:sz w:val="22"/>
          <w:szCs w:val="22"/>
        </w:rPr>
        <w:t xml:space="preserve"> on the language and content of licensing agreements to ensure that they are crafted to mutually benefit the institution, the innovation, and the commercialization partner.</w:t>
      </w:r>
    </w:p>
    <w:p w14:paraId="5B0EE217" w14:textId="77777777" w:rsidR="00885156" w:rsidRPr="00E87042" w:rsidRDefault="00885156" w:rsidP="008851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Oversee</w:t>
      </w:r>
      <w:r>
        <w:rPr>
          <w:rFonts w:ascii="Arial" w:hAnsi="Arial" w:cs="Arial"/>
          <w:bCs/>
          <w:sz w:val="22"/>
          <w:szCs w:val="22"/>
        </w:rPr>
        <w:t>s</w:t>
      </w:r>
      <w:r w:rsidRPr="00E87042">
        <w:rPr>
          <w:rFonts w:ascii="Arial" w:hAnsi="Arial" w:cs="Arial"/>
          <w:bCs/>
          <w:sz w:val="22"/>
          <w:szCs w:val="22"/>
        </w:rPr>
        <w:t xml:space="preserve"> the commercialization strategy for individual innovations.</w:t>
      </w:r>
    </w:p>
    <w:p w14:paraId="6504843D" w14:textId="77777777" w:rsidR="00885156" w:rsidRPr="00E87042" w:rsidRDefault="00885156" w:rsidP="008851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Identif</w:t>
      </w:r>
      <w:r>
        <w:rPr>
          <w:rFonts w:ascii="Arial" w:hAnsi="Arial" w:cs="Arial"/>
          <w:bCs/>
          <w:sz w:val="22"/>
          <w:szCs w:val="22"/>
        </w:rPr>
        <w:t>ies</w:t>
      </w:r>
      <w:r w:rsidRPr="00E87042">
        <w:rPr>
          <w:rFonts w:ascii="Arial" w:hAnsi="Arial" w:cs="Arial"/>
          <w:bCs/>
          <w:sz w:val="22"/>
          <w:szCs w:val="22"/>
        </w:rPr>
        <w:t xml:space="preserve"> Strategic Community Partners that can provide informal guidance or serve on a formal External Advisory Committee.</w:t>
      </w:r>
    </w:p>
    <w:p w14:paraId="795209F9" w14:textId="77777777" w:rsidR="00885156" w:rsidRPr="00E87042" w:rsidRDefault="00885156" w:rsidP="00885156">
      <w:pPr>
        <w:pStyle w:val="ListParagraph"/>
        <w:numPr>
          <w:ilvl w:val="0"/>
          <w:numId w:val="5"/>
        </w:numPr>
        <w:spacing w:before="120"/>
        <w:ind w:left="547" w:hanging="360"/>
        <w:contextualSpacing w:val="0"/>
        <w:rPr>
          <w:rFonts w:ascii="Arial" w:hAnsi="Arial" w:cs="Arial"/>
          <w:bCs/>
          <w:sz w:val="22"/>
          <w:szCs w:val="22"/>
        </w:rPr>
      </w:pPr>
      <w:r w:rsidRPr="00E87042">
        <w:rPr>
          <w:rFonts w:ascii="Arial" w:hAnsi="Arial" w:cs="Arial"/>
          <w:bCs/>
          <w:sz w:val="22"/>
          <w:szCs w:val="22"/>
        </w:rPr>
        <w:t>Set</w:t>
      </w:r>
      <w:r>
        <w:rPr>
          <w:rFonts w:ascii="Arial" w:hAnsi="Arial" w:cs="Arial"/>
          <w:bCs/>
          <w:sz w:val="22"/>
          <w:szCs w:val="22"/>
        </w:rPr>
        <w:t>s</w:t>
      </w:r>
      <w:r w:rsidRPr="00E87042">
        <w:rPr>
          <w:rFonts w:ascii="Arial" w:hAnsi="Arial" w:cs="Arial"/>
          <w:bCs/>
          <w:sz w:val="22"/>
          <w:szCs w:val="22"/>
        </w:rPr>
        <w:t xml:space="preserve"> goals and establish performance metrics for moving CM innovations along the roadmap.</w:t>
      </w:r>
    </w:p>
    <w:p w14:paraId="04317B2C" w14:textId="1703DA90" w:rsidR="00D2703C" w:rsidRDefault="00D2703C" w:rsidP="005E35FC">
      <w:pPr>
        <w:rPr>
          <w:rFonts w:ascii="Arial" w:hAnsi="Arial" w:cs="Arial"/>
          <w:b/>
          <w:sz w:val="22"/>
          <w:szCs w:val="22"/>
        </w:rPr>
      </w:pPr>
    </w:p>
    <w:p w14:paraId="09E489FA" w14:textId="77777777" w:rsidR="00885156" w:rsidRDefault="00885156" w:rsidP="005E35FC">
      <w:pPr>
        <w:rPr>
          <w:rFonts w:ascii="Arial" w:hAnsi="Arial" w:cs="Arial"/>
          <w:b/>
          <w:sz w:val="22"/>
          <w:szCs w:val="22"/>
        </w:rPr>
      </w:pPr>
    </w:p>
    <w:p w14:paraId="6860E3D0" w14:textId="570F620D" w:rsidR="005E35FC" w:rsidRDefault="0028324B" w:rsidP="005E35FC">
      <w:pPr>
        <w:rPr>
          <w:rFonts w:ascii="Arial" w:hAnsi="Arial" w:cs="Arial"/>
          <w:b/>
          <w:sz w:val="22"/>
          <w:szCs w:val="22"/>
        </w:rPr>
      </w:pPr>
      <w:r>
        <w:rPr>
          <w:rFonts w:ascii="Arial" w:hAnsi="Arial" w:cs="Arial"/>
          <w:b/>
          <w:sz w:val="22"/>
          <w:szCs w:val="22"/>
        </w:rPr>
        <w:t>Emerging Infections</w:t>
      </w:r>
    </w:p>
    <w:p w14:paraId="430AE0F8" w14:textId="77777777" w:rsidR="00AF08A6" w:rsidRDefault="00AF08A6" w:rsidP="005E35FC">
      <w:pPr>
        <w:rPr>
          <w:rFonts w:ascii="Arial" w:hAnsi="Arial" w:cs="Arial"/>
          <w:b/>
          <w:sz w:val="22"/>
          <w:szCs w:val="22"/>
        </w:rPr>
      </w:pPr>
    </w:p>
    <w:p w14:paraId="50654B67" w14:textId="77777777" w:rsidR="00AF08A6" w:rsidRDefault="00AF08A6" w:rsidP="00AF08A6">
      <w:pPr>
        <w:rPr>
          <w:rFonts w:ascii="Arial" w:hAnsi="Arial" w:cs="Arial"/>
          <w:bCs/>
          <w:sz w:val="22"/>
          <w:szCs w:val="22"/>
        </w:rPr>
      </w:pPr>
      <w:r w:rsidRPr="00F56E92">
        <w:rPr>
          <w:noProof/>
        </w:rPr>
        <w:drawing>
          <wp:anchor distT="0" distB="0" distL="114300" distR="114300" simplePos="0" relativeHeight="251662336" behindDoc="0" locked="0" layoutInCell="1" allowOverlap="1" wp14:anchorId="16E43484" wp14:editId="4BBF6892">
            <wp:simplePos x="0" y="0"/>
            <wp:positionH relativeFrom="column">
              <wp:posOffset>5591175</wp:posOffset>
            </wp:positionH>
            <wp:positionV relativeFrom="paragraph">
              <wp:posOffset>116840</wp:posOffset>
            </wp:positionV>
            <wp:extent cx="990600" cy="9906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anchor>
        </w:drawing>
      </w:r>
      <w:r w:rsidRPr="00F56E92">
        <w:rPr>
          <w:rFonts w:ascii="Arial" w:hAnsi="Arial" w:cs="Arial"/>
          <w:bCs/>
          <w:sz w:val="22"/>
          <w:szCs w:val="22"/>
        </w:rPr>
        <w:t>The Emerging Infections team was officially announced in June 2022 to engage in multi-dimensional, interdisciplinary research ranging from basic to clinical and translational research in collaboration with other departments like infectious disease, emergency medicine, genomic medicine, home health care, and outcomes research etc</w:t>
      </w:r>
      <w:r>
        <w:rPr>
          <w:rFonts w:ascii="Arial" w:hAnsi="Arial" w:cs="Arial"/>
          <w:bCs/>
          <w:sz w:val="22"/>
          <w:szCs w:val="22"/>
        </w:rPr>
        <w:t xml:space="preserve">.  </w:t>
      </w:r>
      <w:r w:rsidRPr="00F56E92">
        <w:rPr>
          <w:rFonts w:ascii="Arial" w:hAnsi="Arial" w:cs="Arial"/>
          <w:bCs/>
          <w:sz w:val="22"/>
          <w:szCs w:val="22"/>
        </w:rPr>
        <w:t xml:space="preserve">The projects from this group are noted for being large scale with participation of multiple sites, both nationally and globally. The team comprises of a group of highly skilled research personnel with expertise in microbiology, molecular biology, immunology, clinical trial management and bilingual translation who work in collaboration for multiple federal and industry sponsored studies. The team members are broadly divided into two groups – 1) Coordinators who are involved in consent and recruitment of study subjects in the inpatient, </w:t>
      </w:r>
      <w:proofErr w:type="gramStart"/>
      <w:r w:rsidRPr="00F56E92">
        <w:rPr>
          <w:rFonts w:ascii="Arial" w:hAnsi="Arial" w:cs="Arial"/>
          <w:bCs/>
          <w:sz w:val="22"/>
          <w:szCs w:val="22"/>
        </w:rPr>
        <w:t>ED</w:t>
      </w:r>
      <w:proofErr w:type="gramEnd"/>
      <w:r w:rsidRPr="00F56E92">
        <w:rPr>
          <w:rFonts w:ascii="Arial" w:hAnsi="Arial" w:cs="Arial"/>
          <w:bCs/>
          <w:sz w:val="22"/>
          <w:szCs w:val="22"/>
        </w:rPr>
        <w:t xml:space="preserve"> and urgent care settings, and 2) Lab personnel who perform high-complexity molecular, cellular and immunological assays on a plethora of clinical samples. The Emerging Infections laboratory is located on the seventh floor of the Research Tower, Adele Hall Campus, encompassing a laboratory workspace of approximately 2500 </w:t>
      </w:r>
      <w:proofErr w:type="spellStart"/>
      <w:r w:rsidRPr="00F56E92">
        <w:rPr>
          <w:rFonts w:ascii="Arial" w:hAnsi="Arial" w:cs="Arial"/>
          <w:bCs/>
          <w:sz w:val="22"/>
          <w:szCs w:val="22"/>
        </w:rPr>
        <w:t>Sq.ft</w:t>
      </w:r>
      <w:proofErr w:type="spellEnd"/>
      <w:r w:rsidRPr="00F56E92">
        <w:rPr>
          <w:rFonts w:ascii="Arial" w:hAnsi="Arial" w:cs="Arial"/>
          <w:bCs/>
          <w:sz w:val="22"/>
          <w:szCs w:val="22"/>
        </w:rPr>
        <w:t xml:space="preserve">. with 1219 </w:t>
      </w:r>
      <w:proofErr w:type="spellStart"/>
      <w:r w:rsidRPr="00F56E92">
        <w:rPr>
          <w:rFonts w:ascii="Arial" w:hAnsi="Arial" w:cs="Arial"/>
          <w:bCs/>
          <w:sz w:val="22"/>
          <w:szCs w:val="22"/>
        </w:rPr>
        <w:t>sqft</w:t>
      </w:r>
      <w:proofErr w:type="spellEnd"/>
      <w:r w:rsidRPr="00F56E92">
        <w:rPr>
          <w:rFonts w:ascii="Arial" w:hAnsi="Arial" w:cs="Arial"/>
          <w:bCs/>
          <w:sz w:val="22"/>
          <w:szCs w:val="22"/>
        </w:rPr>
        <w:t xml:space="preserve"> dedicated for wet lab bench work and 1172 for office space. The laboratories are well equipped with 3 Class II Biosafety Cabinets, modern equipment such as automated systems for nucleic acid extraction (</w:t>
      </w:r>
      <w:proofErr w:type="spellStart"/>
      <w:r w:rsidRPr="00F56E92">
        <w:rPr>
          <w:rFonts w:ascii="Arial" w:hAnsi="Arial" w:cs="Arial"/>
          <w:bCs/>
          <w:sz w:val="22"/>
          <w:szCs w:val="22"/>
        </w:rPr>
        <w:t>EasyMag</w:t>
      </w:r>
      <w:proofErr w:type="spellEnd"/>
      <w:r w:rsidRPr="00F56E92">
        <w:rPr>
          <w:rFonts w:ascii="Arial" w:hAnsi="Arial" w:cs="Arial"/>
          <w:bCs/>
          <w:sz w:val="22"/>
          <w:szCs w:val="22"/>
        </w:rPr>
        <w:t xml:space="preserve">, </w:t>
      </w:r>
      <w:proofErr w:type="spellStart"/>
      <w:r w:rsidRPr="00F56E92">
        <w:rPr>
          <w:rFonts w:ascii="Arial" w:hAnsi="Arial" w:cs="Arial"/>
          <w:bCs/>
          <w:sz w:val="22"/>
          <w:szCs w:val="22"/>
        </w:rPr>
        <w:t>Qiacube</w:t>
      </w:r>
      <w:proofErr w:type="spellEnd"/>
      <w:r w:rsidRPr="00F56E92">
        <w:rPr>
          <w:rFonts w:ascii="Arial" w:hAnsi="Arial" w:cs="Arial"/>
          <w:bCs/>
          <w:sz w:val="22"/>
          <w:szCs w:val="22"/>
        </w:rPr>
        <w:t xml:space="preserve">, Kingfisher </w:t>
      </w:r>
      <w:proofErr w:type="spellStart"/>
      <w:r w:rsidRPr="00F56E92">
        <w:rPr>
          <w:rFonts w:ascii="Arial" w:hAnsi="Arial" w:cs="Arial"/>
          <w:bCs/>
          <w:sz w:val="22"/>
          <w:szCs w:val="22"/>
        </w:rPr>
        <w:t>DuoPrime</w:t>
      </w:r>
      <w:proofErr w:type="spellEnd"/>
      <w:r>
        <w:rPr>
          <w:rFonts w:ascii="Arial" w:hAnsi="Arial" w:cs="Arial"/>
          <w:bCs/>
          <w:sz w:val="22"/>
          <w:szCs w:val="22"/>
        </w:rPr>
        <w:t>,</w:t>
      </w:r>
      <w:r w:rsidRPr="000E1731">
        <w:rPr>
          <w:rFonts w:ascii="Arial" w:hAnsi="Arial" w:cs="Arial"/>
          <w:bCs/>
          <w:sz w:val="22"/>
          <w:szCs w:val="22"/>
        </w:rPr>
        <w:t xml:space="preserve"> </w:t>
      </w:r>
      <w:r>
        <w:rPr>
          <w:rFonts w:ascii="Arial" w:hAnsi="Arial" w:cs="Arial"/>
          <w:bCs/>
          <w:sz w:val="22"/>
          <w:szCs w:val="22"/>
        </w:rPr>
        <w:t>Kingfisher Apex</w:t>
      </w:r>
      <w:r w:rsidRPr="00F56E92">
        <w:rPr>
          <w:rFonts w:ascii="Arial" w:hAnsi="Arial" w:cs="Arial"/>
          <w:bCs/>
          <w:sz w:val="22"/>
          <w:szCs w:val="22"/>
        </w:rPr>
        <w:t xml:space="preserve">) and sample-to-answer type real-time PCR platforms (Roche </w:t>
      </w:r>
      <w:proofErr w:type="spellStart"/>
      <w:r w:rsidRPr="00F56E92">
        <w:rPr>
          <w:rFonts w:ascii="Arial" w:hAnsi="Arial" w:cs="Arial"/>
          <w:bCs/>
          <w:sz w:val="22"/>
          <w:szCs w:val="22"/>
        </w:rPr>
        <w:t>Liat</w:t>
      </w:r>
      <w:proofErr w:type="spellEnd"/>
      <w:r w:rsidRPr="00F56E92">
        <w:rPr>
          <w:rFonts w:ascii="Arial" w:hAnsi="Arial" w:cs="Arial"/>
          <w:bCs/>
          <w:sz w:val="22"/>
          <w:szCs w:val="22"/>
        </w:rPr>
        <w:t xml:space="preserve">, Cepheid </w:t>
      </w:r>
      <w:proofErr w:type="spellStart"/>
      <w:r w:rsidRPr="00F56E92">
        <w:rPr>
          <w:rFonts w:ascii="Arial" w:hAnsi="Arial" w:cs="Arial"/>
          <w:bCs/>
          <w:sz w:val="22"/>
          <w:szCs w:val="22"/>
        </w:rPr>
        <w:t>GenXpert</w:t>
      </w:r>
      <w:proofErr w:type="spellEnd"/>
      <w:r w:rsidRPr="00F56E92">
        <w:rPr>
          <w:rFonts w:ascii="Arial" w:hAnsi="Arial" w:cs="Arial"/>
          <w:bCs/>
          <w:sz w:val="22"/>
          <w:szCs w:val="22"/>
        </w:rPr>
        <w:t xml:space="preserve">, </w:t>
      </w:r>
      <w:proofErr w:type="spellStart"/>
      <w:r w:rsidRPr="00F56E92">
        <w:rPr>
          <w:rFonts w:ascii="Arial" w:hAnsi="Arial" w:cs="Arial"/>
          <w:bCs/>
          <w:sz w:val="22"/>
          <w:szCs w:val="22"/>
        </w:rPr>
        <w:t>Biofire</w:t>
      </w:r>
      <w:proofErr w:type="spellEnd"/>
      <w:r w:rsidRPr="00F56E92">
        <w:rPr>
          <w:rFonts w:ascii="Arial" w:hAnsi="Arial" w:cs="Arial"/>
          <w:bCs/>
          <w:sz w:val="22"/>
          <w:szCs w:val="22"/>
        </w:rPr>
        <w:t xml:space="preserve"> </w:t>
      </w:r>
      <w:proofErr w:type="spellStart"/>
      <w:r w:rsidRPr="00F56E92">
        <w:rPr>
          <w:rFonts w:ascii="Arial" w:hAnsi="Arial" w:cs="Arial"/>
          <w:bCs/>
          <w:sz w:val="22"/>
          <w:szCs w:val="22"/>
        </w:rPr>
        <w:t>FilmArray</w:t>
      </w:r>
      <w:proofErr w:type="spellEnd"/>
      <w:r>
        <w:rPr>
          <w:rFonts w:ascii="Arial" w:hAnsi="Arial" w:cs="Arial"/>
          <w:bCs/>
          <w:sz w:val="22"/>
          <w:szCs w:val="22"/>
        </w:rPr>
        <w:t>, Abbott ID</w:t>
      </w:r>
      <w:r w:rsidRPr="00F56E92">
        <w:rPr>
          <w:rFonts w:ascii="Arial" w:hAnsi="Arial" w:cs="Arial"/>
          <w:bCs/>
          <w:sz w:val="22"/>
          <w:szCs w:val="22"/>
        </w:rPr>
        <w:t xml:space="preserve">), multiple thermal cyclers and generic real-time PCR platforms, </w:t>
      </w:r>
      <w:proofErr w:type="spellStart"/>
      <w:r w:rsidRPr="00F56E92">
        <w:rPr>
          <w:rFonts w:ascii="Arial" w:hAnsi="Arial" w:cs="Arial"/>
          <w:bCs/>
          <w:sz w:val="22"/>
          <w:szCs w:val="22"/>
        </w:rPr>
        <w:t>Opentron</w:t>
      </w:r>
      <w:proofErr w:type="spellEnd"/>
      <w:r w:rsidRPr="00F56E92">
        <w:rPr>
          <w:rFonts w:ascii="Arial" w:hAnsi="Arial" w:cs="Arial"/>
          <w:bCs/>
          <w:sz w:val="22"/>
          <w:szCs w:val="22"/>
        </w:rPr>
        <w:t xml:space="preserve"> liquid handling system, </w:t>
      </w:r>
      <w:r w:rsidRPr="00424B0D">
        <w:rPr>
          <w:rFonts w:ascii="Arial" w:hAnsi="Arial" w:cs="Arial"/>
          <w:sz w:val="22"/>
          <w:szCs w:val="22"/>
        </w:rPr>
        <w:t>Qubit 4.0 Fluorometer</w:t>
      </w:r>
      <w:r>
        <w:rPr>
          <w:rFonts w:ascii="Arial" w:hAnsi="Arial" w:cs="Arial"/>
          <w:sz w:val="22"/>
          <w:szCs w:val="22"/>
        </w:rPr>
        <w:t xml:space="preserve">, </w:t>
      </w:r>
      <w:r w:rsidRPr="00F56E92">
        <w:rPr>
          <w:rFonts w:ascii="Arial" w:hAnsi="Arial" w:cs="Arial"/>
          <w:bCs/>
          <w:sz w:val="22"/>
          <w:szCs w:val="22"/>
        </w:rPr>
        <w:t xml:space="preserve">microscopes, incubators, DNA gel electrophoresis equipment and transilluminator along with all other general instruments required for microbiology research. </w:t>
      </w:r>
      <w:r>
        <w:rPr>
          <w:rFonts w:ascii="Arial" w:hAnsi="Arial" w:cs="Arial"/>
          <w:bCs/>
          <w:sz w:val="22"/>
          <w:szCs w:val="22"/>
        </w:rPr>
        <w:t xml:space="preserve">More recently, the lab has acquired an ABI 3500 XL sequencer for Sanger sequencing of multiple viruses from clinical samples for large scale epidemiology studies. </w:t>
      </w:r>
      <w:r w:rsidRPr="00F56E92">
        <w:rPr>
          <w:rFonts w:ascii="Arial" w:hAnsi="Arial" w:cs="Arial"/>
          <w:bCs/>
          <w:sz w:val="22"/>
          <w:szCs w:val="22"/>
        </w:rPr>
        <w:t xml:space="preserve">A separate tissue culture room is equipped with Class II Biosafety Cabinet and incubator for viral cell cultures. The lab has a high-volume storage capacity with </w:t>
      </w:r>
      <w:r>
        <w:rPr>
          <w:rFonts w:ascii="Arial" w:hAnsi="Arial" w:cs="Arial"/>
          <w:bCs/>
          <w:sz w:val="22"/>
          <w:szCs w:val="22"/>
        </w:rPr>
        <w:t>9</w:t>
      </w:r>
      <w:r w:rsidRPr="00F56E92">
        <w:rPr>
          <w:rFonts w:ascii="Arial" w:hAnsi="Arial" w:cs="Arial"/>
          <w:bCs/>
          <w:sz w:val="22"/>
          <w:szCs w:val="22"/>
        </w:rPr>
        <w:t xml:space="preserve"> ultra low -80⁰C freezers, </w:t>
      </w:r>
      <w:r>
        <w:rPr>
          <w:rFonts w:ascii="Arial" w:hAnsi="Arial" w:cs="Arial"/>
          <w:bCs/>
          <w:sz w:val="22"/>
          <w:szCs w:val="22"/>
        </w:rPr>
        <w:t>5</w:t>
      </w:r>
      <w:r w:rsidRPr="00F56E92">
        <w:rPr>
          <w:rFonts w:ascii="Arial" w:hAnsi="Arial" w:cs="Arial"/>
          <w:bCs/>
          <w:sz w:val="22"/>
          <w:szCs w:val="22"/>
        </w:rPr>
        <w:t xml:space="preserve"> -20⁰C freezers and four 4⁰C refrigerators (including under the counter refrigerator). Work is under progress to install </w:t>
      </w:r>
      <w:proofErr w:type="spellStart"/>
      <w:r w:rsidRPr="00F56E92">
        <w:rPr>
          <w:rFonts w:ascii="Arial" w:hAnsi="Arial" w:cs="Arial"/>
          <w:bCs/>
          <w:sz w:val="22"/>
          <w:szCs w:val="22"/>
        </w:rPr>
        <w:t>Freezerworks</w:t>
      </w:r>
      <w:proofErr w:type="spellEnd"/>
      <w:r w:rsidRPr="00F56E92">
        <w:rPr>
          <w:rFonts w:ascii="Arial" w:hAnsi="Arial" w:cs="Arial"/>
          <w:bCs/>
          <w:sz w:val="22"/>
          <w:szCs w:val="22"/>
        </w:rPr>
        <w:t xml:space="preserve"> software in the freezers that are used currently for management of freezer inventory. Each lab member has their own office space and computers (</w:t>
      </w:r>
      <w:r>
        <w:rPr>
          <w:rFonts w:ascii="Arial" w:hAnsi="Arial" w:cs="Arial"/>
          <w:bCs/>
          <w:sz w:val="22"/>
          <w:szCs w:val="22"/>
        </w:rPr>
        <w:t>all</w:t>
      </w:r>
      <w:r w:rsidRPr="00F56E92">
        <w:rPr>
          <w:rFonts w:ascii="Arial" w:hAnsi="Arial" w:cs="Arial"/>
          <w:bCs/>
          <w:sz w:val="22"/>
          <w:szCs w:val="22"/>
        </w:rPr>
        <w:t xml:space="preserve"> with dual screens) that have been installed with bioinformatics (DNASTAR </w:t>
      </w:r>
      <w:proofErr w:type="spellStart"/>
      <w:r w:rsidRPr="00F56E92">
        <w:rPr>
          <w:rFonts w:ascii="Arial" w:hAnsi="Arial" w:cs="Arial"/>
          <w:bCs/>
          <w:sz w:val="22"/>
          <w:szCs w:val="22"/>
        </w:rPr>
        <w:t>Lasergene</w:t>
      </w:r>
      <w:proofErr w:type="spellEnd"/>
      <w:r w:rsidRPr="00F56E92">
        <w:rPr>
          <w:rFonts w:ascii="Arial" w:hAnsi="Arial" w:cs="Arial"/>
          <w:bCs/>
          <w:sz w:val="22"/>
          <w:szCs w:val="22"/>
        </w:rPr>
        <w:t>) and reference tool software (EndNote) and share the use of multiple printers.</w:t>
      </w:r>
    </w:p>
    <w:p w14:paraId="590A8988" w14:textId="77777777" w:rsidR="00AF08A6" w:rsidRPr="00F56E92" w:rsidRDefault="00AF08A6" w:rsidP="00AF08A6">
      <w:pPr>
        <w:rPr>
          <w:rFonts w:ascii="Arial" w:hAnsi="Arial" w:cs="Arial"/>
          <w:bCs/>
          <w:sz w:val="22"/>
          <w:szCs w:val="22"/>
        </w:rPr>
      </w:pPr>
    </w:p>
    <w:p w14:paraId="044AFB74" w14:textId="77777777" w:rsidR="00AF08A6" w:rsidRPr="00F56E92" w:rsidRDefault="00AF08A6" w:rsidP="00AF08A6">
      <w:pPr>
        <w:rPr>
          <w:rFonts w:ascii="Arial" w:hAnsi="Arial" w:cs="Arial"/>
          <w:bCs/>
          <w:sz w:val="22"/>
          <w:szCs w:val="22"/>
        </w:rPr>
      </w:pPr>
      <w:r w:rsidRPr="00F56E92">
        <w:rPr>
          <w:rFonts w:ascii="Arial" w:hAnsi="Arial" w:cs="Arial"/>
          <w:bCs/>
          <w:sz w:val="22"/>
          <w:szCs w:val="22"/>
        </w:rPr>
        <w:t xml:space="preserve">The projects in this program can be broadly classified into two categories – </w:t>
      </w:r>
    </w:p>
    <w:p w14:paraId="4B9D4AD6" w14:textId="77777777" w:rsidR="00AF08A6" w:rsidRPr="001465B4" w:rsidRDefault="00AF08A6" w:rsidP="00AF08A6">
      <w:pPr>
        <w:pStyle w:val="ListParagraph"/>
        <w:numPr>
          <w:ilvl w:val="0"/>
          <w:numId w:val="8"/>
        </w:numPr>
        <w:rPr>
          <w:rFonts w:ascii="Arial" w:hAnsi="Arial" w:cs="Arial"/>
          <w:bCs/>
          <w:sz w:val="22"/>
          <w:szCs w:val="22"/>
        </w:rPr>
      </w:pPr>
      <w:r w:rsidRPr="00F56E92">
        <w:rPr>
          <w:rFonts w:ascii="Arial" w:hAnsi="Arial" w:cs="Arial"/>
          <w:bCs/>
          <w:sz w:val="22"/>
          <w:szCs w:val="22"/>
        </w:rPr>
        <w:t xml:space="preserve">Epidemiology and Outbreak Investigations: The primary interest of the group is to investigate the burden of multiple viruses and disease outbreaks in pediatric population within the community, with special emphasis on molecular typing of respiratory viruses (rhinovirus, SARS-CoV-2, RSV). Among the many notable accomplishments, Children’s Mercy Emerging Infections team was the first to alert CDC about EV D-68 outbreak in 2014 and human </w:t>
      </w:r>
      <w:proofErr w:type="spellStart"/>
      <w:r w:rsidRPr="00F56E92">
        <w:rPr>
          <w:rFonts w:ascii="Arial" w:hAnsi="Arial" w:cs="Arial"/>
          <w:bCs/>
          <w:sz w:val="22"/>
          <w:szCs w:val="22"/>
        </w:rPr>
        <w:t>parechovirus</w:t>
      </w:r>
      <w:proofErr w:type="spellEnd"/>
      <w:r w:rsidRPr="00F56E92">
        <w:rPr>
          <w:rFonts w:ascii="Arial" w:hAnsi="Arial" w:cs="Arial"/>
          <w:bCs/>
          <w:sz w:val="22"/>
          <w:szCs w:val="22"/>
        </w:rPr>
        <w:t xml:space="preserve"> household transmission investigation and was also one of the first to study the safety and effectiveness of the 2009 pandemic H1N1 influenza vaccine. </w:t>
      </w:r>
      <w:r>
        <w:rPr>
          <w:rFonts w:ascii="Arial" w:hAnsi="Arial" w:cs="Arial"/>
          <w:bCs/>
          <w:sz w:val="22"/>
          <w:szCs w:val="22"/>
        </w:rPr>
        <w:t>One of the long-standing studies that the CMH team is involved in is the New Vaccine Surveillance Network (NVSN) funded by the CDC since 2009. This is a network of 7 pediatric institutions across the country that participate in viral surveillance of pediatric respiratory and gastro-</w:t>
      </w:r>
      <w:r>
        <w:rPr>
          <w:rFonts w:ascii="Arial" w:hAnsi="Arial" w:cs="Arial"/>
          <w:bCs/>
          <w:sz w:val="22"/>
          <w:szCs w:val="22"/>
        </w:rPr>
        <w:lastRenderedPageBreak/>
        <w:t xml:space="preserve">intestinal infections and vaccine efficacy for Flu, COVID and rotavirus vaccines. CMH has consistently been one of the top enrolling sites for this study and has also taken the lead in multiple sub-studies and has been granted sub-awards over the years. The team also collaborates with investigators from Infectious Disease division to conduct surveillance for respiratory infections in school-going children in North Kansas City as part of CDC funded and NIH funded projects and performs large scale multiplex molecular testing. </w:t>
      </w:r>
    </w:p>
    <w:p w14:paraId="6C4CC855" w14:textId="77777777" w:rsidR="00AF08A6" w:rsidRDefault="00AF08A6" w:rsidP="00AF08A6">
      <w:pPr>
        <w:pStyle w:val="ListParagraph"/>
        <w:numPr>
          <w:ilvl w:val="0"/>
          <w:numId w:val="8"/>
        </w:numPr>
        <w:rPr>
          <w:rFonts w:ascii="Arial" w:hAnsi="Arial" w:cs="Arial"/>
          <w:bCs/>
          <w:sz w:val="22"/>
          <w:szCs w:val="22"/>
        </w:rPr>
      </w:pPr>
      <w:r w:rsidRPr="00F56E92">
        <w:rPr>
          <w:rFonts w:ascii="Arial" w:hAnsi="Arial" w:cs="Arial"/>
          <w:bCs/>
          <w:sz w:val="22"/>
          <w:szCs w:val="22"/>
        </w:rPr>
        <w:t xml:space="preserve">  In vitro Diagnostics Evaluation: The focus of this pathway is to evaluate diagnostic methods and assays for pediatric infections for the continued improvement and development in the field of clinical microbiology. The team has participated in multiple clinical trials or investigator-initiated projects that are either designed for FDA approval for new assays or platforms, or implementation of newer or better microbiological diagnostic practices. </w:t>
      </w:r>
    </w:p>
    <w:p w14:paraId="58AE67DA" w14:textId="77777777" w:rsidR="00AF08A6" w:rsidRPr="00BB5BD5" w:rsidRDefault="00AF08A6" w:rsidP="00AF08A6">
      <w:pPr>
        <w:pStyle w:val="ListParagraph"/>
        <w:numPr>
          <w:ilvl w:val="0"/>
          <w:numId w:val="8"/>
        </w:numPr>
        <w:rPr>
          <w:rFonts w:ascii="Arial" w:hAnsi="Arial" w:cs="Arial"/>
          <w:bCs/>
          <w:sz w:val="22"/>
          <w:szCs w:val="22"/>
        </w:rPr>
      </w:pPr>
      <w:r w:rsidRPr="00BB5BD5">
        <w:rPr>
          <w:rFonts w:ascii="Arial" w:hAnsi="Arial" w:cs="Arial"/>
          <w:bCs/>
          <w:sz w:val="22"/>
          <w:szCs w:val="22"/>
        </w:rPr>
        <w:t>Whole Genome Sequencing of Pathogens: Another area of interest is to develop and implement whole genome sequencing for viral and bacterial pathogens using multiple approaches and partnering with commercial partners such as Illumina, PacBio and Oxford Nanopore. Real-time detection of pathogens and identification of circulating variants is the overall goal of these projects</w:t>
      </w:r>
      <w:r>
        <w:rPr>
          <w:rFonts w:ascii="Arial" w:hAnsi="Arial" w:cs="Arial"/>
          <w:bCs/>
          <w:sz w:val="22"/>
          <w:szCs w:val="22"/>
        </w:rPr>
        <w:t>.</w:t>
      </w:r>
      <w:r w:rsidRPr="00BB5BD5">
        <w:rPr>
          <w:rFonts w:ascii="Arial" w:hAnsi="Arial" w:cs="Arial"/>
          <w:bCs/>
          <w:sz w:val="22"/>
          <w:szCs w:val="22"/>
        </w:rPr>
        <w:t xml:space="preserve"> </w:t>
      </w:r>
    </w:p>
    <w:p w14:paraId="35D30384" w14:textId="77777777" w:rsidR="00AF08A6" w:rsidRPr="00C63C48" w:rsidRDefault="00AF08A6" w:rsidP="00AF08A6">
      <w:pPr>
        <w:rPr>
          <w:rFonts w:ascii="Arial" w:hAnsi="Arial" w:cs="Arial"/>
          <w:bCs/>
          <w:i/>
          <w:iCs/>
          <w:sz w:val="22"/>
          <w:szCs w:val="22"/>
        </w:rPr>
      </w:pPr>
    </w:p>
    <w:p w14:paraId="7B3AB950" w14:textId="77777777" w:rsidR="00AF08A6" w:rsidRPr="00F56E92" w:rsidRDefault="00AF08A6" w:rsidP="00AF08A6">
      <w:pPr>
        <w:pStyle w:val="ListParagraph"/>
        <w:rPr>
          <w:rFonts w:ascii="Arial" w:hAnsi="Arial" w:cs="Arial"/>
          <w:bCs/>
          <w:sz w:val="22"/>
          <w:szCs w:val="22"/>
        </w:rPr>
      </w:pPr>
      <w:r w:rsidRPr="00F56E92">
        <w:rPr>
          <w:rFonts w:ascii="Arial" w:hAnsi="Arial" w:cs="Arial"/>
          <w:bCs/>
          <w:sz w:val="22"/>
          <w:szCs w:val="22"/>
        </w:rPr>
        <w:t xml:space="preserve">The group is well funded by federal grants (Centers for Disease Control and Prevention and NIH), industry sponsored grants (diagnostic and pharmaceutical companies) and internal departmental/research institute grants. All the investigators participate in highly competitive research with the motivation to expand external collaborations, develop new researchers and provide mentoring and training to graduate and undergraduate students and publish well cited articles in peer-reviewed journals. </w:t>
      </w:r>
    </w:p>
    <w:p w14:paraId="13F7810C" w14:textId="191E5605" w:rsidR="00F56E92" w:rsidRDefault="00F56E92" w:rsidP="005E35FC">
      <w:pPr>
        <w:rPr>
          <w:rFonts w:ascii="Arial" w:hAnsi="Arial" w:cs="Arial"/>
          <w:b/>
          <w:sz w:val="22"/>
          <w:szCs w:val="22"/>
        </w:rPr>
      </w:pPr>
    </w:p>
    <w:p w14:paraId="2DA07310" w14:textId="77777777" w:rsidR="0028324B" w:rsidRDefault="0028324B" w:rsidP="005E35FC">
      <w:pPr>
        <w:rPr>
          <w:rFonts w:ascii="Arial" w:hAnsi="Arial" w:cs="Arial"/>
          <w:b/>
          <w:sz w:val="22"/>
          <w:szCs w:val="22"/>
        </w:rPr>
      </w:pPr>
    </w:p>
    <w:p w14:paraId="2B419A9E" w14:textId="4F881646" w:rsidR="00A7657A" w:rsidRDefault="00244988" w:rsidP="0028324B">
      <w:pPr>
        <w:rPr>
          <w:rFonts w:ascii="Arial" w:hAnsi="Arial" w:cs="Arial"/>
          <w:b/>
          <w:sz w:val="22"/>
          <w:szCs w:val="22"/>
        </w:rPr>
      </w:pPr>
      <w:r>
        <w:rPr>
          <w:rFonts w:ascii="Arial" w:hAnsi="Arial" w:cs="Arial"/>
          <w:b/>
          <w:sz w:val="22"/>
          <w:szCs w:val="22"/>
        </w:rPr>
        <w:t>Data Science and Informatics</w:t>
      </w:r>
    </w:p>
    <w:p w14:paraId="32CB4D8D" w14:textId="77777777" w:rsidR="0095377F" w:rsidRDefault="0095377F" w:rsidP="0028324B">
      <w:pPr>
        <w:rPr>
          <w:rFonts w:ascii="Arial" w:hAnsi="Arial" w:cs="Arial"/>
          <w:b/>
          <w:sz w:val="22"/>
          <w:szCs w:val="22"/>
        </w:rPr>
      </w:pPr>
    </w:p>
    <w:p w14:paraId="4A1280E3" w14:textId="77777777" w:rsidR="0095377F" w:rsidRPr="00A7657A" w:rsidRDefault="0095377F" w:rsidP="0095377F">
      <w:pPr>
        <w:spacing w:after="120"/>
        <w:rPr>
          <w:rFonts w:ascii="Arial" w:hAnsi="Arial" w:cs="Arial"/>
          <w:bCs/>
          <w:color w:val="000000" w:themeColor="text1"/>
          <w:sz w:val="22"/>
          <w:szCs w:val="22"/>
        </w:rPr>
      </w:pPr>
      <w:r w:rsidRPr="00A7657A">
        <w:rPr>
          <w:rFonts w:ascii="Arial" w:hAnsi="Arial" w:cs="Arial"/>
          <w:bCs/>
          <w:color w:val="000000" w:themeColor="text1"/>
          <w:sz w:val="22"/>
          <w:szCs w:val="22"/>
        </w:rPr>
        <w:t xml:space="preserve">The Data Science and Informatics team is located in 6,900 sq ft of </w:t>
      </w:r>
      <w:r w:rsidRPr="00A7657A" w:rsidDel="00686FA7">
        <w:rPr>
          <w:rFonts w:ascii="Arial" w:hAnsi="Arial" w:cs="Arial"/>
          <w:bCs/>
          <w:color w:val="000000" w:themeColor="text1"/>
          <w:sz w:val="22"/>
          <w:szCs w:val="22"/>
        </w:rPr>
        <w:t xml:space="preserve">space </w:t>
      </w:r>
      <w:r>
        <w:rPr>
          <w:rFonts w:ascii="Arial" w:hAnsi="Arial" w:cs="Arial"/>
          <w:bCs/>
          <w:color w:val="000000" w:themeColor="text1"/>
          <w:sz w:val="22"/>
          <w:szCs w:val="22"/>
        </w:rPr>
        <w:t>on the east side</w:t>
      </w:r>
      <w:r w:rsidRPr="00A7657A">
        <w:rPr>
          <w:rFonts w:ascii="Arial" w:hAnsi="Arial" w:cs="Arial"/>
          <w:bCs/>
          <w:color w:val="000000" w:themeColor="text1"/>
          <w:sz w:val="22"/>
          <w:szCs w:val="22"/>
        </w:rPr>
        <w:t xml:space="preserve"> o</w:t>
      </w:r>
      <w:r>
        <w:rPr>
          <w:rFonts w:ascii="Arial" w:hAnsi="Arial" w:cs="Arial"/>
          <w:bCs/>
          <w:color w:val="000000" w:themeColor="text1"/>
          <w:sz w:val="22"/>
          <w:szCs w:val="22"/>
        </w:rPr>
        <w:t>f</w:t>
      </w:r>
      <w:r w:rsidRPr="00A7657A">
        <w:rPr>
          <w:rFonts w:ascii="Arial" w:hAnsi="Arial" w:cs="Arial"/>
          <w:bCs/>
          <w:color w:val="000000" w:themeColor="text1"/>
          <w:sz w:val="22"/>
          <w:szCs w:val="22"/>
        </w:rPr>
        <w:t xml:space="preserve"> the second floor of the CMRI building. The team provides several levels of support to the research enterprise as described below.</w:t>
      </w:r>
    </w:p>
    <w:p w14:paraId="42E765F2" w14:textId="77777777" w:rsidR="0095377F" w:rsidRPr="00A7657A" w:rsidRDefault="0095377F" w:rsidP="0095377F">
      <w:pPr>
        <w:spacing w:after="120"/>
        <w:rPr>
          <w:rFonts w:ascii="Arial" w:hAnsi="Arial" w:cs="Arial"/>
          <w:bCs/>
          <w:color w:val="000000" w:themeColor="text1"/>
          <w:sz w:val="22"/>
          <w:szCs w:val="22"/>
        </w:rPr>
      </w:pPr>
      <w:r w:rsidRPr="00A7657A">
        <w:rPr>
          <w:rFonts w:ascii="Arial" w:hAnsi="Arial" w:cs="Arial"/>
          <w:bCs/>
          <w:color w:val="000000" w:themeColor="text1"/>
          <w:sz w:val="22"/>
          <w:szCs w:val="22"/>
        </w:rPr>
        <w:t xml:space="preserve">Our Research Informatics Navigator </w:t>
      </w:r>
      <w:r w:rsidRPr="35907C31">
        <w:rPr>
          <w:rFonts w:ascii="Arial" w:hAnsi="Arial" w:cs="Arial"/>
          <w:color w:val="000000" w:themeColor="text1"/>
          <w:sz w:val="22"/>
          <w:szCs w:val="22"/>
        </w:rPr>
        <w:t>serves</w:t>
      </w:r>
      <w:r w:rsidRPr="00A7657A">
        <w:rPr>
          <w:rFonts w:ascii="Arial" w:hAnsi="Arial" w:cs="Arial"/>
          <w:bCs/>
          <w:color w:val="000000" w:themeColor="text1"/>
          <w:sz w:val="22"/>
          <w:szCs w:val="22"/>
        </w:rPr>
        <w:t xml:space="preserve"> as a guide for investigators in using available applications and data sources and provides training and consultation.</w:t>
      </w:r>
    </w:p>
    <w:p w14:paraId="423EDAD1" w14:textId="77777777" w:rsidR="0095377F" w:rsidRPr="000D7BA1" w:rsidRDefault="0095377F" w:rsidP="0095377F">
      <w:pPr>
        <w:rPr>
          <w:rFonts w:ascii="Arial" w:hAnsi="Arial" w:cs="Arial"/>
          <w:color w:val="000000" w:themeColor="text1"/>
          <w:sz w:val="22"/>
          <w:szCs w:val="22"/>
        </w:rPr>
      </w:pPr>
      <w:r w:rsidRPr="000D7BA1">
        <w:rPr>
          <w:rFonts w:ascii="Arial" w:hAnsi="Arial" w:cs="Arial"/>
          <w:color w:val="000000" w:themeColor="text1"/>
          <w:sz w:val="22"/>
          <w:szCs w:val="22"/>
        </w:rPr>
        <w:t>The Informatics team maintains Research Networking Software, a research networking and expertise mining tool. It not only shows traditional directory information, but also illustrates how each person is connected to others in the broad research community.</w:t>
      </w:r>
    </w:p>
    <w:p w14:paraId="005D5EF8" w14:textId="77777777" w:rsidR="0095377F" w:rsidRDefault="0095377F" w:rsidP="0095377F">
      <w:pPr>
        <w:spacing w:after="120"/>
        <w:rPr>
          <w:rFonts w:ascii="Arial" w:hAnsi="Arial" w:cs="Arial"/>
          <w:color w:val="000000" w:themeColor="text1"/>
          <w:sz w:val="22"/>
          <w:szCs w:val="22"/>
        </w:rPr>
      </w:pPr>
    </w:p>
    <w:p w14:paraId="775B77FE" w14:textId="77777777" w:rsidR="00EE25B4" w:rsidRPr="00EE25B4" w:rsidRDefault="0095377F" w:rsidP="00EE25B4">
      <w:pPr>
        <w:spacing w:after="120"/>
        <w:rPr>
          <w:rFonts w:ascii="Arial" w:hAnsi="Arial" w:cs="Arial"/>
          <w:bCs/>
          <w:color w:val="000000" w:themeColor="text1"/>
          <w:sz w:val="22"/>
          <w:szCs w:val="22"/>
          <w:lang w:val="en"/>
        </w:rPr>
      </w:pPr>
      <w:r w:rsidRPr="00A7657A">
        <w:rPr>
          <w:rFonts w:ascii="Arial" w:hAnsi="Arial" w:cs="Arial"/>
          <w:bCs/>
          <w:color w:val="000000" w:themeColor="text1"/>
          <w:sz w:val="22"/>
          <w:szCs w:val="22"/>
        </w:rPr>
        <w:t xml:space="preserve"> </w:t>
      </w:r>
      <w:r w:rsidR="00EE25B4" w:rsidRPr="00EE25B4">
        <w:rPr>
          <w:rFonts w:ascii="Arial" w:hAnsi="Arial" w:cs="Arial"/>
          <w:b/>
          <w:bCs/>
          <w:color w:val="000000" w:themeColor="text1"/>
          <w:sz w:val="22"/>
          <w:szCs w:val="22"/>
          <w:u w:val="single"/>
        </w:rPr>
        <w:t>Vendor platform support</w:t>
      </w:r>
      <w:r w:rsidR="00EE25B4" w:rsidRPr="00EE25B4">
        <w:rPr>
          <w:rFonts w:ascii="Arial" w:hAnsi="Arial" w:cs="Arial"/>
          <w:b/>
          <w:bCs/>
          <w:color w:val="000000" w:themeColor="text1"/>
          <w:sz w:val="22"/>
          <w:szCs w:val="22"/>
        </w:rPr>
        <w:t xml:space="preserve">: </w:t>
      </w:r>
      <w:r w:rsidR="00EE25B4" w:rsidRPr="00EE25B4">
        <w:rPr>
          <w:rFonts w:ascii="Arial" w:hAnsi="Arial" w:cs="Arial"/>
          <w:bCs/>
          <w:color w:val="000000" w:themeColor="text1"/>
          <w:sz w:val="22"/>
          <w:szCs w:val="22"/>
        </w:rPr>
        <w:t xml:space="preserve">The Research Informatics group at Children’s Mercy supports vendor-developed platforms and provides custom software and database development resources to researchers. CMKC uses the Huron software-as-a-service systems for IRB, COI, IACUC, Grants, Agreements and Safety. The Advarra Clinical Conductor Clinical Trials Management System (CTMS) integrates with the Oracle Health (formerly Cerner) electronic health record system to provide a high level of consistency. The biorepository </w:t>
      </w:r>
      <w:proofErr w:type="spellStart"/>
      <w:r w:rsidR="00EE25B4" w:rsidRPr="00EE25B4">
        <w:rPr>
          <w:rFonts w:ascii="Arial" w:hAnsi="Arial" w:cs="Arial"/>
          <w:bCs/>
          <w:color w:val="000000" w:themeColor="text1"/>
          <w:sz w:val="22"/>
          <w:szCs w:val="22"/>
        </w:rPr>
        <w:t>Freezerworks</w:t>
      </w:r>
      <w:proofErr w:type="spellEnd"/>
      <w:r w:rsidR="00EE25B4" w:rsidRPr="00EE25B4">
        <w:rPr>
          <w:rFonts w:ascii="Arial" w:hAnsi="Arial" w:cs="Arial"/>
          <w:bCs/>
          <w:color w:val="000000" w:themeColor="text1"/>
          <w:sz w:val="22"/>
          <w:szCs w:val="22"/>
        </w:rPr>
        <w:t xml:space="preserve"> system is supported by the Research Informatics team. Qiagen Ingenuity Pathways Analysis (IPA) is available to all CMH researchers. </w:t>
      </w:r>
      <w:proofErr w:type="spellStart"/>
      <w:r w:rsidR="00EE25B4" w:rsidRPr="00EE25B4">
        <w:rPr>
          <w:rFonts w:ascii="Arial" w:hAnsi="Arial" w:cs="Arial"/>
          <w:bCs/>
          <w:color w:val="000000" w:themeColor="text1"/>
          <w:sz w:val="22"/>
          <w:szCs w:val="22"/>
        </w:rPr>
        <w:t>TriNetX</w:t>
      </w:r>
      <w:proofErr w:type="spellEnd"/>
      <w:r w:rsidR="00EE25B4" w:rsidRPr="00EE25B4">
        <w:rPr>
          <w:rFonts w:ascii="Arial" w:hAnsi="Arial" w:cs="Arial"/>
          <w:bCs/>
          <w:color w:val="000000" w:themeColor="text1"/>
          <w:sz w:val="22"/>
          <w:szCs w:val="22"/>
        </w:rPr>
        <w:t xml:space="preserve"> is available to all CMH researchers to perform queries against de-identified CMH clinical data. </w:t>
      </w:r>
      <w:proofErr w:type="spellStart"/>
      <w:r w:rsidR="00EE25B4" w:rsidRPr="00EE25B4">
        <w:rPr>
          <w:rFonts w:ascii="Arial" w:hAnsi="Arial" w:cs="Arial"/>
          <w:bCs/>
          <w:color w:val="000000" w:themeColor="text1"/>
          <w:sz w:val="22"/>
          <w:szCs w:val="22"/>
        </w:rPr>
        <w:t>SciNote</w:t>
      </w:r>
      <w:proofErr w:type="spellEnd"/>
      <w:r w:rsidR="00EE25B4" w:rsidRPr="00EE25B4">
        <w:rPr>
          <w:rFonts w:ascii="Arial" w:hAnsi="Arial" w:cs="Arial"/>
          <w:bCs/>
          <w:color w:val="000000" w:themeColor="text1"/>
          <w:sz w:val="22"/>
          <w:szCs w:val="22"/>
        </w:rPr>
        <w:t xml:space="preserve"> is available for electronic laboratory notebook needs.</w:t>
      </w:r>
      <w:r w:rsidR="00EE25B4" w:rsidRPr="00EE25B4">
        <w:rPr>
          <w:rFonts w:ascii="Arial" w:hAnsi="Arial" w:cs="Arial"/>
          <w:bCs/>
          <w:color w:val="000000" w:themeColor="text1"/>
          <w:sz w:val="22"/>
          <w:szCs w:val="22"/>
          <w:lang w:val="en"/>
        </w:rPr>
        <w:t xml:space="preserve"> Cayuse is used for Animal Operations.</w:t>
      </w:r>
      <w:r w:rsidR="00EE25B4" w:rsidRPr="00EE25B4">
        <w:rPr>
          <w:rFonts w:ascii="Arial" w:hAnsi="Arial" w:cs="Arial"/>
          <w:bCs/>
          <w:color w:val="000000" w:themeColor="text1"/>
          <w:sz w:val="22"/>
          <w:szCs w:val="22"/>
        </w:rPr>
        <w:t xml:space="preserve"> </w:t>
      </w:r>
      <w:proofErr w:type="gramStart"/>
      <w:r w:rsidR="00EE25B4" w:rsidRPr="00EE25B4">
        <w:rPr>
          <w:rFonts w:ascii="Arial" w:hAnsi="Arial" w:cs="Arial"/>
          <w:bCs/>
          <w:color w:val="000000" w:themeColor="text1"/>
          <w:sz w:val="22"/>
          <w:szCs w:val="22"/>
        </w:rPr>
        <w:t>In order to</w:t>
      </w:r>
      <w:proofErr w:type="gramEnd"/>
      <w:r w:rsidR="00EE25B4" w:rsidRPr="00EE25B4">
        <w:rPr>
          <w:rFonts w:ascii="Arial" w:hAnsi="Arial" w:cs="Arial"/>
          <w:bCs/>
          <w:color w:val="000000" w:themeColor="text1"/>
          <w:sz w:val="22"/>
          <w:szCs w:val="22"/>
        </w:rPr>
        <w:t xml:space="preserve"> provide a high-quality user experience, Research Informatics works with end users to perform testing, manage application updates, and respond to support concerns.</w:t>
      </w:r>
    </w:p>
    <w:p w14:paraId="0B1731EE" w14:textId="6FE4ED09" w:rsidR="00EE25B4" w:rsidRPr="00EE25B4" w:rsidRDefault="00EE25B4" w:rsidP="00EE25B4">
      <w:pPr>
        <w:spacing w:after="120"/>
        <w:rPr>
          <w:rFonts w:ascii="Arial" w:hAnsi="Arial" w:cs="Arial"/>
          <w:bCs/>
          <w:color w:val="000000" w:themeColor="text1"/>
          <w:sz w:val="22"/>
          <w:szCs w:val="22"/>
        </w:rPr>
      </w:pPr>
      <w:r w:rsidRPr="00EE25B4">
        <w:rPr>
          <w:rFonts w:ascii="Arial" w:hAnsi="Arial" w:cs="Arial"/>
          <w:bCs/>
          <w:color w:val="000000" w:themeColor="text1"/>
          <w:sz w:val="22"/>
          <w:szCs w:val="22"/>
        </w:rPr>
        <w:t xml:space="preserve">Commercial statistics applications such as SAS and SPSS are available to CMKC researchers, and the Research Informatics and Data Science teams also support R and offers access to Posit Workbench (formerly RStudio Server Pro) in a high-performance computing environment. Researchers at CMKC also have access to </w:t>
      </w:r>
      <w:proofErr w:type="spellStart"/>
      <w:r w:rsidRPr="00EE25B4">
        <w:rPr>
          <w:rFonts w:ascii="Arial" w:hAnsi="Arial" w:cs="Arial"/>
          <w:bCs/>
          <w:color w:val="000000" w:themeColor="text1"/>
          <w:sz w:val="22"/>
          <w:szCs w:val="22"/>
        </w:rPr>
        <w:t>REDCap</w:t>
      </w:r>
      <w:proofErr w:type="spellEnd"/>
      <w:r w:rsidRPr="00EE25B4">
        <w:rPr>
          <w:rFonts w:ascii="Arial" w:hAnsi="Arial" w:cs="Arial"/>
          <w:bCs/>
          <w:color w:val="000000" w:themeColor="text1"/>
          <w:sz w:val="22"/>
          <w:szCs w:val="22"/>
        </w:rPr>
        <w:t xml:space="preserve"> (Research Electronic Data Capture).</w:t>
      </w:r>
    </w:p>
    <w:p w14:paraId="13E3253F" w14:textId="77777777" w:rsidR="00EE25B4" w:rsidRPr="00EE25B4" w:rsidRDefault="00EE25B4" w:rsidP="00EE25B4">
      <w:pPr>
        <w:spacing w:after="120"/>
        <w:rPr>
          <w:rFonts w:ascii="Arial" w:hAnsi="Arial" w:cs="Arial"/>
          <w:bCs/>
          <w:color w:val="000000" w:themeColor="text1"/>
          <w:sz w:val="22"/>
          <w:szCs w:val="22"/>
        </w:rPr>
      </w:pPr>
      <w:r w:rsidRPr="00EE25B4">
        <w:rPr>
          <w:rFonts w:ascii="Arial" w:hAnsi="Arial" w:cs="Arial"/>
          <w:b/>
          <w:bCs/>
          <w:color w:val="000000" w:themeColor="text1"/>
          <w:sz w:val="22"/>
          <w:szCs w:val="22"/>
          <w:u w:val="single"/>
        </w:rPr>
        <w:t>Custom application development</w:t>
      </w:r>
      <w:r w:rsidRPr="00EE25B4">
        <w:rPr>
          <w:rFonts w:ascii="Arial" w:hAnsi="Arial" w:cs="Arial"/>
          <w:bCs/>
          <w:color w:val="000000" w:themeColor="text1"/>
          <w:sz w:val="22"/>
          <w:szCs w:val="22"/>
        </w:rPr>
        <w:t>:</w:t>
      </w:r>
      <w:r w:rsidRPr="00EE25B4">
        <w:rPr>
          <w:rFonts w:ascii="Arial" w:hAnsi="Arial" w:cs="Arial"/>
          <w:b/>
          <w:bCs/>
          <w:color w:val="000000" w:themeColor="text1"/>
          <w:sz w:val="22"/>
          <w:szCs w:val="22"/>
        </w:rPr>
        <w:t xml:space="preserve"> </w:t>
      </w:r>
      <w:r w:rsidRPr="00EE25B4">
        <w:rPr>
          <w:rFonts w:ascii="Arial" w:hAnsi="Arial" w:cs="Arial"/>
          <w:bCs/>
          <w:color w:val="000000" w:themeColor="text1"/>
          <w:sz w:val="22"/>
          <w:szCs w:val="22"/>
        </w:rPr>
        <w:t xml:space="preserve">The members of the custom software application development team are experts in developing web applications, data visualizations, automation workflows, cloud infrastructure, mobile applications, wearable device integration and mixed reality applications. The team uses a Secure Software Development Lifecycle with technologies that include Microsoft Azure, </w:t>
      </w:r>
      <w:proofErr w:type="spellStart"/>
      <w:r w:rsidRPr="00EE25B4">
        <w:rPr>
          <w:rFonts w:ascii="Arial" w:hAnsi="Arial" w:cs="Arial"/>
          <w:bCs/>
          <w:color w:val="000000" w:themeColor="text1"/>
          <w:sz w:val="22"/>
          <w:szCs w:val="22"/>
        </w:rPr>
        <w:t>PowerBI</w:t>
      </w:r>
      <w:proofErr w:type="spellEnd"/>
      <w:r w:rsidRPr="00EE25B4">
        <w:rPr>
          <w:rFonts w:ascii="Arial" w:hAnsi="Arial" w:cs="Arial"/>
          <w:bCs/>
          <w:color w:val="000000" w:themeColor="text1"/>
          <w:sz w:val="22"/>
          <w:szCs w:val="22"/>
        </w:rPr>
        <w:t xml:space="preserve">, Unity, data factories, Databricks, and FHIR to accomplish this work. Recent projects have included work to access Garmin device data, use of Azure Communication Services to facilitate text messaging to participants, the development of a </w:t>
      </w:r>
      <w:proofErr w:type="spellStart"/>
      <w:r w:rsidRPr="00EE25B4">
        <w:rPr>
          <w:rFonts w:ascii="Arial" w:hAnsi="Arial" w:cs="Arial"/>
          <w:bCs/>
          <w:color w:val="000000" w:themeColor="text1"/>
          <w:sz w:val="22"/>
          <w:szCs w:val="22"/>
        </w:rPr>
        <w:lastRenderedPageBreak/>
        <w:t>PowerBI</w:t>
      </w:r>
      <w:proofErr w:type="spellEnd"/>
      <w:r w:rsidRPr="00EE25B4">
        <w:rPr>
          <w:rFonts w:ascii="Arial" w:hAnsi="Arial" w:cs="Arial"/>
          <w:bCs/>
          <w:color w:val="000000" w:themeColor="text1"/>
          <w:sz w:val="22"/>
          <w:szCs w:val="22"/>
        </w:rPr>
        <w:t xml:space="preserve"> and </w:t>
      </w:r>
      <w:proofErr w:type="spellStart"/>
      <w:r w:rsidRPr="00EE25B4">
        <w:rPr>
          <w:rFonts w:ascii="Arial" w:hAnsi="Arial" w:cs="Arial"/>
          <w:bCs/>
          <w:color w:val="000000" w:themeColor="text1"/>
          <w:sz w:val="22"/>
          <w:szCs w:val="22"/>
        </w:rPr>
        <w:t>RedCap</w:t>
      </w:r>
      <w:proofErr w:type="spellEnd"/>
      <w:r w:rsidRPr="00EE25B4">
        <w:rPr>
          <w:rFonts w:ascii="Arial" w:hAnsi="Arial" w:cs="Arial"/>
          <w:bCs/>
          <w:color w:val="000000" w:themeColor="text1"/>
          <w:sz w:val="22"/>
          <w:szCs w:val="22"/>
        </w:rPr>
        <w:t xml:space="preserve"> based query application for perinatal specimens, a mixed reality platform to deliver 3D clinical images to users, IoT capabilities to support a national diabetes network and custom applications in support of the Precision Medicine AOE. </w:t>
      </w:r>
    </w:p>
    <w:p w14:paraId="0C1894B1" w14:textId="77777777" w:rsidR="00EE25B4" w:rsidRPr="00EE25B4" w:rsidRDefault="00EE25B4" w:rsidP="00EE25B4">
      <w:pPr>
        <w:spacing w:after="120"/>
        <w:rPr>
          <w:rFonts w:ascii="Arial" w:hAnsi="Arial" w:cs="Arial"/>
          <w:bCs/>
          <w:color w:val="000000" w:themeColor="text1"/>
          <w:sz w:val="22"/>
          <w:szCs w:val="22"/>
        </w:rPr>
      </w:pPr>
      <w:r w:rsidRPr="00EE25B4">
        <w:rPr>
          <w:rFonts w:ascii="Arial" w:hAnsi="Arial" w:cs="Arial"/>
          <w:b/>
          <w:bCs/>
          <w:color w:val="000000" w:themeColor="text1"/>
          <w:sz w:val="22"/>
          <w:szCs w:val="22"/>
        </w:rPr>
        <w:t>3D Printing:</w:t>
      </w:r>
      <w:r w:rsidRPr="00EE25B4">
        <w:rPr>
          <w:rFonts w:ascii="Arial" w:hAnsi="Arial" w:cs="Arial"/>
          <w:bCs/>
          <w:color w:val="000000" w:themeColor="text1"/>
          <w:sz w:val="22"/>
          <w:szCs w:val="22"/>
        </w:rPr>
        <w:t xml:space="preserve"> The 2</w:t>
      </w:r>
      <w:r w:rsidRPr="00EE25B4">
        <w:rPr>
          <w:rFonts w:ascii="Arial" w:hAnsi="Arial" w:cs="Arial"/>
          <w:bCs/>
          <w:color w:val="000000" w:themeColor="text1"/>
          <w:sz w:val="22"/>
          <w:szCs w:val="22"/>
          <w:vertAlign w:val="superscript"/>
        </w:rPr>
        <w:t>nd</w:t>
      </w:r>
      <w:r w:rsidRPr="00EE25B4">
        <w:rPr>
          <w:rFonts w:ascii="Arial" w:hAnsi="Arial" w:cs="Arial"/>
          <w:bCs/>
          <w:color w:val="000000" w:themeColor="text1"/>
          <w:sz w:val="22"/>
          <w:szCs w:val="22"/>
        </w:rPr>
        <w:t xml:space="preserve"> floor of CMRI includes a 680 sq ft Makerspace room that houses a Stratasys </w:t>
      </w:r>
      <w:proofErr w:type="spellStart"/>
      <w:r w:rsidRPr="00EE25B4">
        <w:rPr>
          <w:rFonts w:ascii="Arial" w:hAnsi="Arial" w:cs="Arial"/>
          <w:bCs/>
          <w:color w:val="000000" w:themeColor="text1"/>
          <w:sz w:val="22"/>
          <w:szCs w:val="22"/>
        </w:rPr>
        <w:t>ObJet</w:t>
      </w:r>
      <w:proofErr w:type="spellEnd"/>
      <w:r w:rsidRPr="00EE25B4">
        <w:rPr>
          <w:rFonts w:ascii="Arial" w:hAnsi="Arial" w:cs="Arial"/>
          <w:bCs/>
          <w:color w:val="000000" w:themeColor="text1"/>
          <w:sz w:val="22"/>
          <w:szCs w:val="22"/>
        </w:rPr>
        <w:t xml:space="preserve"> 500 Connex3 3D printer capable of producing finely detailed multicolor and multi-material objects up to 19.3 x 15.4 x 7.9 inches in size.</w:t>
      </w:r>
    </w:p>
    <w:p w14:paraId="260D039F" w14:textId="6C538ED5" w:rsidR="00EE25B4" w:rsidRPr="00EE25B4" w:rsidRDefault="00EE25B4" w:rsidP="00EE25B4">
      <w:pPr>
        <w:spacing w:after="120"/>
        <w:rPr>
          <w:rFonts w:ascii="Arial" w:hAnsi="Arial" w:cs="Arial"/>
          <w:bCs/>
          <w:color w:val="000000" w:themeColor="text1"/>
          <w:sz w:val="22"/>
          <w:szCs w:val="22"/>
        </w:rPr>
      </w:pPr>
      <w:r w:rsidRPr="00EE25B4">
        <w:rPr>
          <w:rFonts w:ascii="Arial" w:hAnsi="Arial" w:cs="Arial"/>
          <w:b/>
          <w:bCs/>
          <w:color w:val="000000" w:themeColor="text1"/>
          <w:sz w:val="22"/>
          <w:szCs w:val="22"/>
          <w:u w:val="single"/>
        </w:rPr>
        <w:t>Data center</w:t>
      </w:r>
      <w:r w:rsidRPr="00EE25B4">
        <w:rPr>
          <w:rFonts w:ascii="Arial" w:hAnsi="Arial" w:cs="Arial"/>
          <w:b/>
          <w:bCs/>
          <w:color w:val="000000" w:themeColor="text1"/>
          <w:sz w:val="22"/>
          <w:szCs w:val="22"/>
        </w:rPr>
        <w:t>:</w:t>
      </w:r>
      <w:r w:rsidRPr="00EE25B4">
        <w:rPr>
          <w:rFonts w:ascii="Arial" w:hAnsi="Arial" w:cs="Arial"/>
          <w:bCs/>
          <w:color w:val="000000" w:themeColor="text1"/>
          <w:sz w:val="22"/>
          <w:szCs w:val="22"/>
        </w:rPr>
        <w:t xml:space="preserve"> The 6</w:t>
      </w:r>
      <w:r w:rsidRPr="00EE25B4">
        <w:rPr>
          <w:rFonts w:ascii="Arial" w:hAnsi="Arial" w:cs="Arial"/>
          <w:bCs/>
          <w:color w:val="000000" w:themeColor="text1"/>
          <w:sz w:val="22"/>
          <w:szCs w:val="22"/>
          <w:vertAlign w:val="superscript"/>
        </w:rPr>
        <w:t>th</w:t>
      </w:r>
      <w:r w:rsidRPr="00EE25B4">
        <w:rPr>
          <w:rFonts w:ascii="Arial" w:hAnsi="Arial" w:cs="Arial"/>
          <w:bCs/>
          <w:color w:val="000000" w:themeColor="text1"/>
          <w:sz w:val="22"/>
          <w:szCs w:val="22"/>
        </w:rPr>
        <w:t xml:space="preserve"> Floor of CMRI includes 425 sq ft of conditioned data center space dedicated to research initiatives at CMH.  The data center contains a High-Performance Computing Cluster comprised of a </w:t>
      </w:r>
      <w:proofErr w:type="spellStart"/>
      <w:r w:rsidRPr="00EE25B4">
        <w:rPr>
          <w:rFonts w:ascii="Arial" w:hAnsi="Arial" w:cs="Arial"/>
          <w:bCs/>
          <w:color w:val="000000" w:themeColor="text1"/>
          <w:sz w:val="22"/>
          <w:szCs w:val="22"/>
        </w:rPr>
        <w:t>Slurm</w:t>
      </w:r>
      <w:proofErr w:type="spellEnd"/>
      <w:r w:rsidRPr="00EE25B4">
        <w:rPr>
          <w:rFonts w:ascii="Arial" w:hAnsi="Arial" w:cs="Arial"/>
          <w:bCs/>
          <w:color w:val="000000" w:themeColor="text1"/>
          <w:sz w:val="22"/>
          <w:szCs w:val="22"/>
        </w:rPr>
        <w:t xml:space="preserve"> scheduler, 728 compute node cores, 9.75 TB of compute node memory, 2 Nvidia T4 GPUs, 360 TB of NVME storage, and dual-redundant 100 GB network connectivity. System management and ancillary systems rely on a local hyperconverged Nutanix cluster for virtualization. The data center is connected via fiber to the rest of the CMH organization as well as a dedicated Express Route to Microsoft Azure Cloud for connectivity, scalability, and data protection. The data center is secured by badge access, 24x7 video surveillance and cutting-edge fire suppression systems. Power redundancy is provided by a 160 kVA UPS with lithium battery backup, dedicated generators, and the CMRI-building backup power system. The team works closely with the Genomic Medicine Center to manage the Azure infrastructure referenced in the Genomic Medicine Center section above.</w:t>
      </w:r>
    </w:p>
    <w:p w14:paraId="5C50C2E0" w14:textId="77777777" w:rsidR="00EE25B4" w:rsidRPr="00EE25B4" w:rsidRDefault="00EE25B4" w:rsidP="00EE25B4">
      <w:pPr>
        <w:spacing w:after="120"/>
        <w:rPr>
          <w:rFonts w:ascii="Arial" w:hAnsi="Arial" w:cs="Arial"/>
          <w:bCs/>
          <w:color w:val="000000" w:themeColor="text1"/>
          <w:sz w:val="22"/>
          <w:szCs w:val="22"/>
        </w:rPr>
      </w:pPr>
      <w:r w:rsidRPr="00EE25B4">
        <w:rPr>
          <w:rFonts w:ascii="Arial" w:hAnsi="Arial" w:cs="Arial"/>
          <w:bCs/>
          <w:color w:val="000000" w:themeColor="text1"/>
          <w:sz w:val="22"/>
          <w:szCs w:val="22"/>
          <w:u w:val="single"/>
        </w:rPr>
        <w:t>Data science and data resources</w:t>
      </w:r>
      <w:r w:rsidRPr="00EE25B4">
        <w:rPr>
          <w:rFonts w:ascii="Arial" w:hAnsi="Arial" w:cs="Arial"/>
          <w:bCs/>
          <w:color w:val="000000" w:themeColor="text1"/>
          <w:sz w:val="22"/>
          <w:szCs w:val="22"/>
        </w:rPr>
        <w:t>: Researchers at Children’s Mercy have access to a variety of data resources:</w:t>
      </w:r>
    </w:p>
    <w:p w14:paraId="2150FC98" w14:textId="77777777" w:rsidR="00EE25B4" w:rsidRPr="00EE25B4" w:rsidRDefault="00EE25B4" w:rsidP="00EE25B4">
      <w:pPr>
        <w:numPr>
          <w:ilvl w:val="0"/>
          <w:numId w:val="3"/>
        </w:numPr>
        <w:spacing w:after="120"/>
        <w:rPr>
          <w:rFonts w:ascii="Arial" w:hAnsi="Arial" w:cs="Arial"/>
          <w:bCs/>
          <w:color w:val="000000" w:themeColor="text1"/>
          <w:sz w:val="22"/>
          <w:szCs w:val="22"/>
          <w:lang w:val="en"/>
        </w:rPr>
      </w:pPr>
      <w:r w:rsidRPr="00EE25B4">
        <w:rPr>
          <w:rFonts w:ascii="Arial" w:hAnsi="Arial" w:cs="Arial"/>
          <w:bCs/>
          <w:color w:val="000000" w:themeColor="text1"/>
          <w:sz w:val="22"/>
          <w:szCs w:val="22"/>
        </w:rPr>
        <w:t xml:space="preserve">Oracle EHR Real World Data (OERWD) - The January 2021 version of OERWD includes de-identified EHR-derived data from 126 non-affiliated healthcare organizations in the US with 1.8 billion encounters associated with 105 million patients. </w:t>
      </w:r>
    </w:p>
    <w:p w14:paraId="3AF7184E" w14:textId="77777777" w:rsidR="00EE25B4" w:rsidRPr="00EE25B4" w:rsidRDefault="00EE25B4" w:rsidP="00EE25B4">
      <w:pPr>
        <w:numPr>
          <w:ilvl w:val="0"/>
          <w:numId w:val="3"/>
        </w:numPr>
        <w:spacing w:after="120"/>
        <w:rPr>
          <w:rFonts w:ascii="Arial" w:hAnsi="Arial" w:cs="Arial"/>
          <w:bCs/>
          <w:color w:val="000000" w:themeColor="text1"/>
          <w:sz w:val="22"/>
          <w:szCs w:val="22"/>
          <w:lang w:val="en"/>
        </w:rPr>
      </w:pPr>
      <w:r w:rsidRPr="00EE25B4">
        <w:rPr>
          <w:rFonts w:ascii="Arial" w:hAnsi="Arial" w:cs="Arial"/>
          <w:bCs/>
          <w:color w:val="000000" w:themeColor="text1"/>
          <w:sz w:val="22"/>
          <w:szCs w:val="22"/>
        </w:rPr>
        <w:t xml:space="preserve">Oracle COVID data set – de-identified data from 117,496 COVID patients from 62 organizations. </w:t>
      </w:r>
    </w:p>
    <w:p w14:paraId="346C2DF2" w14:textId="77777777" w:rsidR="00EE25B4" w:rsidRPr="00EE25B4" w:rsidRDefault="00EE25B4" w:rsidP="00EE25B4">
      <w:pPr>
        <w:numPr>
          <w:ilvl w:val="0"/>
          <w:numId w:val="3"/>
        </w:numPr>
        <w:spacing w:after="120"/>
        <w:rPr>
          <w:rFonts w:ascii="Arial" w:hAnsi="Arial" w:cs="Arial"/>
          <w:bCs/>
          <w:color w:val="000000" w:themeColor="text1"/>
          <w:sz w:val="22"/>
          <w:szCs w:val="22"/>
          <w:lang w:val="en"/>
        </w:rPr>
      </w:pPr>
      <w:r w:rsidRPr="00EE25B4">
        <w:rPr>
          <w:rFonts w:ascii="Arial" w:hAnsi="Arial" w:cs="Arial"/>
          <w:bCs/>
          <w:color w:val="000000" w:themeColor="text1"/>
          <w:sz w:val="22"/>
          <w:szCs w:val="22"/>
        </w:rPr>
        <w:t>CMKC Enterprise Data Warehouse (EDW) – researchers with an approved IRB protocol may request identified data from the EDW populated with clinical, financial, and administrative data.</w:t>
      </w:r>
    </w:p>
    <w:p w14:paraId="352B6CF0" w14:textId="77777777" w:rsidR="00EE25B4" w:rsidRPr="00EE25B4" w:rsidRDefault="00EE25B4" w:rsidP="00EE25B4">
      <w:pPr>
        <w:numPr>
          <w:ilvl w:val="0"/>
          <w:numId w:val="3"/>
        </w:numPr>
        <w:spacing w:after="120"/>
        <w:rPr>
          <w:rFonts w:ascii="Arial" w:hAnsi="Arial" w:cs="Arial"/>
          <w:bCs/>
          <w:color w:val="000000" w:themeColor="text1"/>
          <w:sz w:val="22"/>
          <w:szCs w:val="22"/>
          <w:lang w:val="en"/>
        </w:rPr>
      </w:pPr>
      <w:proofErr w:type="spellStart"/>
      <w:r w:rsidRPr="00EE25B4">
        <w:rPr>
          <w:rFonts w:ascii="Arial" w:hAnsi="Arial" w:cs="Arial"/>
          <w:bCs/>
          <w:color w:val="000000" w:themeColor="text1"/>
          <w:sz w:val="22"/>
          <w:szCs w:val="22"/>
        </w:rPr>
        <w:t>TriNetX</w:t>
      </w:r>
      <w:proofErr w:type="spellEnd"/>
      <w:r w:rsidRPr="00EE25B4">
        <w:rPr>
          <w:rFonts w:ascii="Arial" w:hAnsi="Arial" w:cs="Arial"/>
          <w:bCs/>
          <w:color w:val="000000" w:themeColor="text1"/>
          <w:sz w:val="22"/>
          <w:szCs w:val="22"/>
        </w:rPr>
        <w:t xml:space="preserve"> de-identified Children’s Mercy clinical data is available through a user-friendly front end query builder. </w:t>
      </w:r>
    </w:p>
    <w:p w14:paraId="5DFF0CBA" w14:textId="77777777" w:rsidR="00EE25B4" w:rsidRPr="00EE25B4" w:rsidRDefault="00EE25B4" w:rsidP="00EE25B4">
      <w:pPr>
        <w:numPr>
          <w:ilvl w:val="0"/>
          <w:numId w:val="3"/>
        </w:numPr>
        <w:spacing w:after="120"/>
        <w:rPr>
          <w:rFonts w:ascii="Arial" w:hAnsi="Arial" w:cs="Arial"/>
          <w:bCs/>
          <w:color w:val="000000" w:themeColor="text1"/>
          <w:sz w:val="22"/>
          <w:szCs w:val="22"/>
          <w:lang w:val="en"/>
        </w:rPr>
      </w:pPr>
      <w:r w:rsidRPr="00EE25B4">
        <w:rPr>
          <w:rFonts w:ascii="Arial" w:hAnsi="Arial" w:cs="Arial"/>
          <w:bCs/>
          <w:color w:val="000000" w:themeColor="text1"/>
          <w:sz w:val="22"/>
          <w:szCs w:val="22"/>
        </w:rPr>
        <w:t>All of Us – CMKC is approved for access to the NIH All of Us genotype and phenotype data resource.</w:t>
      </w:r>
    </w:p>
    <w:p w14:paraId="1C9817BC" w14:textId="77777777" w:rsidR="00EE25B4" w:rsidRPr="00EE25B4" w:rsidRDefault="00EE25B4" w:rsidP="00EE25B4">
      <w:pPr>
        <w:numPr>
          <w:ilvl w:val="0"/>
          <w:numId w:val="3"/>
        </w:numPr>
        <w:spacing w:after="120"/>
        <w:rPr>
          <w:rFonts w:ascii="Arial" w:hAnsi="Arial" w:cs="Arial"/>
          <w:bCs/>
          <w:color w:val="000000" w:themeColor="text1"/>
          <w:sz w:val="22"/>
          <w:szCs w:val="22"/>
          <w:lang w:val="en"/>
        </w:rPr>
      </w:pPr>
      <w:r w:rsidRPr="00EE25B4">
        <w:rPr>
          <w:rFonts w:ascii="Arial" w:hAnsi="Arial" w:cs="Arial"/>
          <w:bCs/>
          <w:color w:val="000000" w:themeColor="text1"/>
          <w:sz w:val="22"/>
          <w:szCs w:val="22"/>
        </w:rPr>
        <w:t xml:space="preserve">PHIS – </w:t>
      </w:r>
      <w:r w:rsidRPr="00EE25B4">
        <w:rPr>
          <w:rFonts w:ascii="Arial" w:hAnsi="Arial" w:cs="Arial"/>
          <w:bCs/>
          <w:color w:val="000000" w:themeColor="text1"/>
          <w:sz w:val="22"/>
          <w:szCs w:val="22"/>
          <w:lang w:val="en"/>
        </w:rPr>
        <w:t xml:space="preserve">Children’s Mercy is a member of the Children’s Hospital Association and has access to the </w:t>
      </w:r>
      <w:hyperlink r:id="rId17" w:history="1">
        <w:r w:rsidRPr="00EE25B4">
          <w:rPr>
            <w:rStyle w:val="Hyperlink"/>
            <w:rFonts w:ascii="Arial" w:hAnsi="Arial" w:cs="Arial"/>
            <w:bCs/>
            <w:sz w:val="22"/>
            <w:szCs w:val="22"/>
            <w:lang w:val="en"/>
          </w:rPr>
          <w:t>Pediatric Health Information System</w:t>
        </w:r>
      </w:hyperlink>
      <w:r w:rsidRPr="00EE25B4">
        <w:rPr>
          <w:rFonts w:ascii="Arial" w:hAnsi="Arial" w:cs="Arial"/>
          <w:bCs/>
          <w:color w:val="000000" w:themeColor="text1"/>
          <w:sz w:val="22"/>
          <w:szCs w:val="22"/>
        </w:rPr>
        <w:t>®</w:t>
      </w:r>
      <w:r w:rsidRPr="00EE25B4">
        <w:rPr>
          <w:rFonts w:ascii="Arial" w:hAnsi="Arial" w:cs="Arial"/>
          <w:bCs/>
          <w:color w:val="000000" w:themeColor="text1"/>
          <w:sz w:val="22"/>
          <w:szCs w:val="22"/>
          <w:vertAlign w:val="superscript"/>
          <w:lang w:val="en"/>
        </w:rPr>
        <w:t xml:space="preserve"> </w:t>
      </w:r>
      <w:r w:rsidRPr="00EE25B4">
        <w:rPr>
          <w:rFonts w:ascii="Arial" w:hAnsi="Arial" w:cs="Arial"/>
          <w:bCs/>
          <w:color w:val="000000" w:themeColor="text1"/>
          <w:sz w:val="22"/>
          <w:szCs w:val="22"/>
          <w:lang w:val="en"/>
        </w:rPr>
        <w:t>(PHIS), a comparative pediatric database, which includes clinical and resource utilization data for inpatient, ambulatory surgery, emergency department and observation  unit patient encounters for more than 45 children's hospitals.   </w:t>
      </w:r>
    </w:p>
    <w:p w14:paraId="11D34ACF" w14:textId="77777777" w:rsidR="00EE25B4" w:rsidRPr="00EE25B4" w:rsidRDefault="00EE25B4" w:rsidP="00EE25B4">
      <w:pPr>
        <w:numPr>
          <w:ilvl w:val="0"/>
          <w:numId w:val="3"/>
        </w:numPr>
        <w:spacing w:after="120"/>
        <w:rPr>
          <w:rFonts w:ascii="Arial" w:hAnsi="Arial" w:cs="Arial"/>
          <w:bCs/>
          <w:color w:val="000000" w:themeColor="text1"/>
          <w:sz w:val="22"/>
          <w:szCs w:val="22"/>
          <w:lang w:val="en"/>
        </w:rPr>
      </w:pPr>
      <w:r w:rsidRPr="00EE25B4">
        <w:rPr>
          <w:rFonts w:ascii="Arial" w:hAnsi="Arial" w:cs="Arial"/>
          <w:bCs/>
          <w:color w:val="000000" w:themeColor="text1"/>
          <w:sz w:val="22"/>
          <w:szCs w:val="22"/>
          <w:lang w:val="en"/>
        </w:rPr>
        <w:t>Health Facts – de-identified data from 69 million patients with 487 million encounters treated at 85 U.S. health systems.</w:t>
      </w:r>
    </w:p>
    <w:p w14:paraId="71E9B3EC" w14:textId="77777777" w:rsidR="00EE25B4" w:rsidRPr="00EE25B4" w:rsidRDefault="00EE25B4" w:rsidP="00EE25B4">
      <w:pPr>
        <w:numPr>
          <w:ilvl w:val="0"/>
          <w:numId w:val="3"/>
        </w:numPr>
        <w:spacing w:after="120"/>
        <w:rPr>
          <w:rFonts w:ascii="Arial" w:hAnsi="Arial" w:cs="Arial"/>
          <w:bCs/>
          <w:color w:val="000000" w:themeColor="text1"/>
          <w:sz w:val="22"/>
          <w:szCs w:val="22"/>
          <w:lang w:val="en"/>
        </w:rPr>
      </w:pPr>
      <w:r w:rsidRPr="00EE25B4">
        <w:rPr>
          <w:rFonts w:ascii="Arial" w:hAnsi="Arial" w:cs="Arial"/>
          <w:bCs/>
          <w:color w:val="000000" w:themeColor="text1"/>
          <w:sz w:val="22"/>
          <w:szCs w:val="22"/>
          <w:lang w:val="en"/>
        </w:rPr>
        <w:t>Integrated Care Solutions (ICS) – a clinical data repository that includes claims data.</w:t>
      </w:r>
    </w:p>
    <w:p w14:paraId="2DA864F0" w14:textId="77777777" w:rsidR="00EE25B4" w:rsidRPr="00EE25B4" w:rsidRDefault="00EE25B4" w:rsidP="00EE25B4">
      <w:pPr>
        <w:numPr>
          <w:ilvl w:val="0"/>
          <w:numId w:val="3"/>
        </w:numPr>
        <w:spacing w:after="120"/>
        <w:rPr>
          <w:rFonts w:ascii="Arial" w:hAnsi="Arial" w:cs="Arial"/>
          <w:bCs/>
          <w:color w:val="000000" w:themeColor="text1"/>
          <w:sz w:val="22"/>
          <w:szCs w:val="22"/>
          <w:lang w:val="en"/>
        </w:rPr>
      </w:pPr>
      <w:r w:rsidRPr="00EE25B4">
        <w:rPr>
          <w:rFonts w:ascii="Arial" w:hAnsi="Arial" w:cs="Arial"/>
          <w:bCs/>
          <w:color w:val="000000" w:themeColor="text1"/>
          <w:sz w:val="22"/>
          <w:szCs w:val="22"/>
        </w:rPr>
        <w:t>Library subscriptions to online medical and research websites including Lexicomp, Ovid, and CINAHL.</w:t>
      </w:r>
    </w:p>
    <w:p w14:paraId="30351CF0" w14:textId="77777777" w:rsidR="00EE25B4" w:rsidRPr="00EE25B4" w:rsidRDefault="00EE25B4" w:rsidP="00EE25B4">
      <w:pPr>
        <w:spacing w:after="120"/>
        <w:rPr>
          <w:rFonts w:ascii="Arial" w:hAnsi="Arial" w:cs="Arial"/>
          <w:bCs/>
          <w:color w:val="000000" w:themeColor="text1"/>
          <w:sz w:val="22"/>
          <w:szCs w:val="22"/>
        </w:rPr>
      </w:pPr>
      <w:r w:rsidRPr="00EE25B4">
        <w:rPr>
          <w:rFonts w:ascii="Arial" w:hAnsi="Arial" w:cs="Arial"/>
          <w:bCs/>
          <w:color w:val="000000" w:themeColor="text1"/>
          <w:sz w:val="22"/>
          <w:szCs w:val="22"/>
        </w:rPr>
        <w:t xml:space="preserve">The data science team provides consultative services to investigators and works closely with the (BEC) above and provides expertise in Geographic Information Systems (GIS) and large-scale data strategy to active research projects. </w:t>
      </w:r>
    </w:p>
    <w:p w14:paraId="18688D09" w14:textId="00A3DD30" w:rsidR="0095377F" w:rsidRPr="00A7657A" w:rsidRDefault="0095377F" w:rsidP="0095377F">
      <w:pPr>
        <w:spacing w:after="120"/>
        <w:rPr>
          <w:rFonts w:ascii="Arial" w:hAnsi="Arial" w:cs="Arial"/>
          <w:bCs/>
          <w:color w:val="000000" w:themeColor="text1"/>
          <w:sz w:val="22"/>
          <w:szCs w:val="22"/>
        </w:rPr>
      </w:pPr>
    </w:p>
    <w:p w14:paraId="5B6A3C80" w14:textId="77777777" w:rsidR="0028324B" w:rsidRPr="00A7657A" w:rsidRDefault="0028324B" w:rsidP="0028324B">
      <w:pPr>
        <w:rPr>
          <w:rFonts w:ascii="Arial" w:hAnsi="Arial" w:cs="Arial"/>
          <w:b/>
          <w:sz w:val="22"/>
          <w:szCs w:val="22"/>
        </w:rPr>
      </w:pPr>
    </w:p>
    <w:p w14:paraId="7E2B5B49" w14:textId="2AABED9D" w:rsidR="00574E55" w:rsidRDefault="00574E55" w:rsidP="00574E55">
      <w:pPr>
        <w:spacing w:after="120"/>
        <w:rPr>
          <w:rFonts w:ascii="Arial" w:hAnsi="Arial" w:cs="Arial"/>
          <w:b/>
          <w:bCs/>
          <w:sz w:val="22"/>
          <w:szCs w:val="22"/>
        </w:rPr>
      </w:pPr>
      <w:r>
        <w:rPr>
          <w:rFonts w:ascii="Arial" w:hAnsi="Arial" w:cs="Arial"/>
          <w:b/>
          <w:bCs/>
          <w:sz w:val="22"/>
          <w:szCs w:val="22"/>
        </w:rPr>
        <w:t>Children’s Mercy Bioethics Center</w:t>
      </w:r>
    </w:p>
    <w:p w14:paraId="2F8B4228" w14:textId="77777777" w:rsidR="00584719" w:rsidRDefault="005E35FC" w:rsidP="00574E55">
      <w:pPr>
        <w:spacing w:after="120"/>
        <w:rPr>
          <w:rFonts w:ascii="Arial" w:eastAsia="Calibri" w:hAnsi="Arial" w:cs="Arial"/>
          <w:color w:val="000000"/>
          <w:sz w:val="22"/>
          <w:szCs w:val="22"/>
          <w:shd w:val="clear" w:color="auto" w:fill="FFFFFF"/>
        </w:rPr>
      </w:pPr>
      <w:r w:rsidRPr="005E35FC">
        <w:rPr>
          <w:rFonts w:ascii="Arial" w:eastAsia="Calibri" w:hAnsi="Arial" w:cs="Arial"/>
          <w:color w:val="000000"/>
          <w:sz w:val="22"/>
          <w:szCs w:val="22"/>
          <w:shd w:val="clear" w:color="auto" w:fill="FFFFFF"/>
        </w:rPr>
        <w:t xml:space="preserve">The Children’s Mercy Bioethics Center (CMBC) was created in 2009 to raise and analyze ethical issues that arise in clinical pediatrics, pediatric research, and child health policy The CMBC faculty includes physicians, nurses, philosophers, and health administrators.  In 2010, CMBC created the world’s first post-doctoral Certificate Training Program in Pediatric Bioethics.  Since then, this program has trained over 300 child health professionals from over 35 countries.  Research at the CMBC covers a broad range of issues, including shared </w:t>
      </w:r>
      <w:r w:rsidRPr="005E35FC">
        <w:rPr>
          <w:rFonts w:ascii="Arial" w:eastAsia="Calibri" w:hAnsi="Arial" w:cs="Arial"/>
          <w:color w:val="000000"/>
          <w:sz w:val="22"/>
          <w:szCs w:val="22"/>
          <w:shd w:val="clear" w:color="auto" w:fill="FFFFFF"/>
        </w:rPr>
        <w:lastRenderedPageBreak/>
        <w:t xml:space="preserve">decision-making, doctor-patient-parent communication, clinical decisions for babies born at the borderline of viability, ethical issues in comparative effectiveness research, artificial intelligence and learning health care systems, research dilemmas in innovative treatments for rare diseases, and the many issues associated with genome sequencing for children.  Research at the CMBC has been funded by grants from NIH, the Templeton Foundation, the Claire Giannini Trust, the Glasnapp Family Foundation, and many individual donors.  CMBC faculty collaboratively have published hundreds of peer-reviewed papers and 10 books.  We provide both clinical and research consultations and work collaboratively with interested clinicians and researchers to study ethical issues. The CMBC occupies approximately 1000 square feet on the second floor of the Children’s Mercy Research Institute. </w:t>
      </w:r>
    </w:p>
    <w:p w14:paraId="20C75B28" w14:textId="34EAD21C" w:rsidR="005E35FC" w:rsidRPr="005E35FC" w:rsidRDefault="005E35FC" w:rsidP="00574E55">
      <w:pPr>
        <w:spacing w:after="120"/>
        <w:rPr>
          <w:rFonts w:eastAsia="Calibri"/>
          <w:color w:val="000000"/>
        </w:rPr>
      </w:pPr>
      <w:r w:rsidRPr="005E35FC">
        <w:rPr>
          <w:rFonts w:ascii="Arial" w:eastAsia="Calibri" w:hAnsi="Arial" w:cs="Arial"/>
          <w:color w:val="000000"/>
          <w:sz w:val="22"/>
          <w:szCs w:val="22"/>
        </w:rPr>
        <w:t> </w:t>
      </w:r>
    </w:p>
    <w:p w14:paraId="2EAEE894" w14:textId="51D4FDB3" w:rsidR="00862517" w:rsidRDefault="00FA68D6" w:rsidP="001F3253">
      <w:pPr>
        <w:tabs>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b/>
          <w:sz w:val="22"/>
          <w:szCs w:val="22"/>
        </w:rPr>
      </w:pPr>
      <w:r>
        <w:rPr>
          <w:rFonts w:ascii="Arial" w:hAnsi="Arial" w:cs="Arial"/>
          <w:b/>
          <w:sz w:val="22"/>
          <w:szCs w:val="22"/>
        </w:rPr>
        <w:t>C</w:t>
      </w:r>
      <w:r w:rsidR="00EB2D0B">
        <w:rPr>
          <w:rFonts w:ascii="Arial" w:hAnsi="Arial" w:cs="Arial"/>
          <w:b/>
          <w:sz w:val="22"/>
          <w:szCs w:val="22"/>
        </w:rPr>
        <w:t>hildren’s Research Institute Biorepository (CRIB)</w:t>
      </w:r>
    </w:p>
    <w:p w14:paraId="02059183" w14:textId="09ABCE96" w:rsidR="005E35FC" w:rsidRDefault="00584719" w:rsidP="00584719">
      <w:pPr>
        <w:shd w:val="clear" w:color="auto" w:fill="FFFFFF" w:themeFill="background1"/>
        <w:spacing w:after="120"/>
        <w:rPr>
          <w:rFonts w:ascii="Arial" w:hAnsi="Arial" w:cs="Arial"/>
          <w:sz w:val="22"/>
          <w:szCs w:val="22"/>
        </w:rPr>
      </w:pPr>
      <w:r w:rsidRPr="00E362E3">
        <w:rPr>
          <w:rFonts w:ascii="Arial" w:hAnsi="Arial" w:cs="Arial"/>
          <w:sz w:val="22"/>
          <w:szCs w:val="22"/>
        </w:rPr>
        <w:t>The CRIB occupies approximately 800 square feet of space on the third floor of the Sutherland Tower and is directly connected to the Precision Therapeutics and Genome Center groups on the third floor of the CMRI building.  Currently, the CRIB houses over 3</w:t>
      </w:r>
      <w:r w:rsidR="000863B1">
        <w:rPr>
          <w:rFonts w:ascii="Arial" w:hAnsi="Arial" w:cs="Arial"/>
          <w:sz w:val="22"/>
          <w:szCs w:val="22"/>
        </w:rPr>
        <w:t>6</w:t>
      </w:r>
      <w:r w:rsidRPr="00E362E3">
        <w:rPr>
          <w:rFonts w:ascii="Arial" w:hAnsi="Arial" w:cs="Arial"/>
          <w:sz w:val="22"/>
          <w:szCs w:val="22"/>
        </w:rPr>
        <w:t>,000 biologically derived research samples in a state-of-the-art</w:t>
      </w:r>
      <w:r>
        <w:rPr>
          <w:rFonts w:ascii="Arial" w:hAnsi="Arial" w:cs="Arial"/>
          <w:sz w:val="22"/>
          <w:szCs w:val="22"/>
        </w:rPr>
        <w:t xml:space="preserve"> facility with </w:t>
      </w:r>
      <w:r w:rsidRPr="00E362E3">
        <w:rPr>
          <w:rFonts w:ascii="Arial" w:hAnsi="Arial" w:cs="Arial"/>
          <w:sz w:val="22"/>
          <w:szCs w:val="22"/>
        </w:rPr>
        <w:t xml:space="preserve">equipment for receiving, processing, storing, and distributing biospecimens. With a continuously monitored suite of seven ultra-low temperature freezers, two liquid nitrogen tanks and three refrigerators, the CRIB has storage space for well over a half-million research samples. This CAP-accredited facility uses the International Society for Biological and Environmental Repositories (ISBER) Best Practices to process blood, urine, stool, tissue, and other biological samples. It provides various additional services, including blood component separation, nucleic acid extraction, flash freezing, and viable cell freezing.  The CRIB also assists investigators with IRB protocols related to sample collection, processing and storage, sample tracking, organization of legacy biospecimens and accompanying data, and Honest Broker services.  </w:t>
      </w:r>
    </w:p>
    <w:p w14:paraId="3672A48D" w14:textId="77777777" w:rsidR="00D44BF3" w:rsidRPr="00584719" w:rsidRDefault="00D44BF3" w:rsidP="00584719">
      <w:pPr>
        <w:shd w:val="clear" w:color="auto" w:fill="FFFFFF" w:themeFill="background1"/>
        <w:spacing w:after="120"/>
        <w:rPr>
          <w:rFonts w:ascii="Arial" w:hAnsi="Arial" w:cs="Arial"/>
          <w:sz w:val="22"/>
          <w:szCs w:val="22"/>
        </w:rPr>
      </w:pPr>
    </w:p>
    <w:p w14:paraId="1A1977F3" w14:textId="2F218B61" w:rsidR="004F3997" w:rsidRDefault="00C62ACE" w:rsidP="004F3997">
      <w:pPr>
        <w:spacing w:after="120"/>
        <w:rPr>
          <w:rFonts w:ascii="Arial" w:hAnsi="Arial" w:cs="Arial"/>
          <w:b/>
          <w:sz w:val="22"/>
          <w:szCs w:val="22"/>
        </w:rPr>
      </w:pPr>
      <w:r w:rsidRPr="000E63AE">
        <w:rPr>
          <w:rFonts w:ascii="Arial" w:hAnsi="Arial" w:cs="Arial"/>
          <w:b/>
          <w:sz w:val="22"/>
          <w:szCs w:val="22"/>
        </w:rPr>
        <w:t xml:space="preserve">Pediatric </w:t>
      </w:r>
      <w:r>
        <w:rPr>
          <w:rFonts w:ascii="Arial" w:hAnsi="Arial" w:cs="Arial"/>
          <w:b/>
          <w:sz w:val="22"/>
          <w:szCs w:val="22"/>
        </w:rPr>
        <w:t>Clinical Research</w:t>
      </w:r>
      <w:r w:rsidRPr="000E63AE">
        <w:rPr>
          <w:rFonts w:ascii="Arial" w:hAnsi="Arial" w:cs="Arial"/>
          <w:b/>
          <w:sz w:val="22"/>
          <w:szCs w:val="22"/>
        </w:rPr>
        <w:t xml:space="preserve"> Unit</w:t>
      </w:r>
      <w:r>
        <w:rPr>
          <w:rFonts w:ascii="Arial" w:hAnsi="Arial" w:cs="Arial"/>
          <w:b/>
          <w:sz w:val="22"/>
          <w:szCs w:val="22"/>
        </w:rPr>
        <w:t xml:space="preserve"> (PCRU)</w:t>
      </w:r>
    </w:p>
    <w:p w14:paraId="07E81BE5" w14:textId="77777777" w:rsidR="002D026C" w:rsidRDefault="002D026C" w:rsidP="002D026C">
      <w:pPr>
        <w:spacing w:after="120"/>
        <w:rPr>
          <w:rFonts w:ascii="Arial" w:hAnsi="Arial" w:cs="Arial"/>
          <w:sz w:val="22"/>
          <w:szCs w:val="22"/>
        </w:rPr>
      </w:pPr>
      <w:r>
        <w:rPr>
          <w:rFonts w:ascii="Arial" w:hAnsi="Arial" w:cs="Arial"/>
          <w:sz w:val="22"/>
          <w:szCs w:val="22"/>
        </w:rPr>
        <w:t>The PCRU is a 6530</w:t>
      </w:r>
      <w:r w:rsidRPr="000E63AE">
        <w:rPr>
          <w:rFonts w:ascii="Arial" w:hAnsi="Arial" w:cs="Arial"/>
          <w:sz w:val="22"/>
          <w:szCs w:val="22"/>
        </w:rPr>
        <w:t xml:space="preserve"> ft</w:t>
      </w:r>
      <w:r w:rsidRPr="000E63AE">
        <w:rPr>
          <w:rFonts w:ascii="Arial" w:hAnsi="Arial" w:cs="Arial"/>
          <w:sz w:val="22"/>
          <w:szCs w:val="22"/>
          <w:vertAlign w:val="superscript"/>
        </w:rPr>
        <w:t>2</w:t>
      </w:r>
      <w:r w:rsidRPr="000E63AE">
        <w:rPr>
          <w:rFonts w:ascii="Arial" w:hAnsi="Arial" w:cs="Arial"/>
          <w:sz w:val="22"/>
          <w:szCs w:val="22"/>
        </w:rPr>
        <w:t xml:space="preserve"> </w:t>
      </w:r>
      <w:r>
        <w:rPr>
          <w:rFonts w:ascii="Arial" w:hAnsi="Arial" w:cs="Arial"/>
          <w:sz w:val="22"/>
          <w:szCs w:val="22"/>
        </w:rPr>
        <w:t xml:space="preserve">facility </w:t>
      </w:r>
      <w:r w:rsidRPr="000E63AE">
        <w:rPr>
          <w:rFonts w:ascii="Arial" w:hAnsi="Arial" w:cs="Arial"/>
          <w:sz w:val="22"/>
          <w:szCs w:val="22"/>
        </w:rPr>
        <w:t xml:space="preserve">located on the ground level of the </w:t>
      </w:r>
      <w:r>
        <w:rPr>
          <w:rFonts w:ascii="Arial" w:hAnsi="Arial" w:cs="Arial"/>
          <w:sz w:val="22"/>
          <w:szCs w:val="22"/>
        </w:rPr>
        <w:t>Hall Inpatient T</w:t>
      </w:r>
      <w:r w:rsidRPr="000E63AE">
        <w:rPr>
          <w:rFonts w:ascii="Arial" w:hAnsi="Arial" w:cs="Arial"/>
          <w:sz w:val="22"/>
          <w:szCs w:val="22"/>
        </w:rPr>
        <w:t>ower</w:t>
      </w:r>
      <w:r>
        <w:rPr>
          <w:rFonts w:ascii="Arial" w:hAnsi="Arial" w:cs="Arial"/>
          <w:sz w:val="22"/>
          <w:szCs w:val="22"/>
        </w:rPr>
        <w:t xml:space="preserve">. </w:t>
      </w:r>
      <w:r w:rsidRPr="000E63AE">
        <w:rPr>
          <w:rFonts w:ascii="Arial" w:hAnsi="Arial" w:cs="Arial"/>
          <w:sz w:val="22"/>
          <w:szCs w:val="22"/>
        </w:rPr>
        <w:t xml:space="preserve"> The facility is a self-contained clinical research nursing unit with accommodations for both inpatient and outpatient studies. </w:t>
      </w:r>
      <w:r>
        <w:rPr>
          <w:rFonts w:ascii="Arial" w:hAnsi="Arial" w:cs="Arial"/>
          <w:sz w:val="22"/>
          <w:szCs w:val="22"/>
        </w:rPr>
        <w:t xml:space="preserve"> </w:t>
      </w:r>
      <w:r w:rsidRPr="000E63AE">
        <w:rPr>
          <w:rFonts w:ascii="Arial" w:hAnsi="Arial" w:cs="Arial"/>
          <w:sz w:val="22"/>
          <w:szCs w:val="22"/>
        </w:rPr>
        <w:t xml:space="preserve">It is comprised of </w:t>
      </w:r>
      <w:r>
        <w:rPr>
          <w:rFonts w:ascii="Arial" w:hAnsi="Arial" w:cs="Arial"/>
          <w:sz w:val="22"/>
          <w:szCs w:val="22"/>
        </w:rPr>
        <w:t>three</w:t>
      </w:r>
      <w:r w:rsidRPr="000E63AE">
        <w:rPr>
          <w:rFonts w:ascii="Arial" w:hAnsi="Arial" w:cs="Arial"/>
          <w:sz w:val="22"/>
          <w:szCs w:val="22"/>
        </w:rPr>
        <w:t xml:space="preserve"> </w:t>
      </w:r>
      <w:r>
        <w:rPr>
          <w:rFonts w:ascii="Arial" w:hAnsi="Arial" w:cs="Arial"/>
          <w:sz w:val="22"/>
          <w:szCs w:val="22"/>
        </w:rPr>
        <w:t>single patient rooms and one three-bed patient room and 4 clinic-style rooms; t</w:t>
      </w:r>
      <w:r w:rsidRPr="004C7A74">
        <w:rPr>
          <w:rFonts w:ascii="Arial" w:hAnsi="Arial" w:cs="Arial"/>
          <w:sz w:val="22"/>
          <w:szCs w:val="22"/>
        </w:rPr>
        <w:t>he layout of all rooms was specifically designed to facilitate patient and family comfort throughout the duration of their stay.</w:t>
      </w:r>
      <w:r>
        <w:rPr>
          <w:rFonts w:ascii="Arial" w:hAnsi="Arial" w:cs="Arial"/>
          <w:sz w:val="22"/>
          <w:szCs w:val="22"/>
        </w:rPr>
        <w:t xml:space="preserve">  Additional resources include</w:t>
      </w:r>
      <w:r w:rsidRPr="000E63AE">
        <w:rPr>
          <w:rFonts w:ascii="Arial" w:hAnsi="Arial" w:cs="Arial"/>
          <w:sz w:val="22"/>
          <w:szCs w:val="22"/>
        </w:rPr>
        <w:t xml:space="preserve"> a </w:t>
      </w:r>
      <w:r>
        <w:rPr>
          <w:rFonts w:ascii="Arial" w:hAnsi="Arial" w:cs="Arial"/>
          <w:sz w:val="22"/>
          <w:szCs w:val="22"/>
        </w:rPr>
        <w:t xml:space="preserve">two </w:t>
      </w:r>
      <w:r w:rsidRPr="000E63AE">
        <w:rPr>
          <w:rFonts w:ascii="Arial" w:hAnsi="Arial" w:cs="Arial"/>
          <w:sz w:val="22"/>
          <w:szCs w:val="22"/>
        </w:rPr>
        <w:t>specimen processing laborato</w:t>
      </w:r>
      <w:r>
        <w:rPr>
          <w:rFonts w:ascii="Arial" w:hAnsi="Arial" w:cs="Arial"/>
          <w:sz w:val="22"/>
          <w:szCs w:val="22"/>
        </w:rPr>
        <w:t>ries</w:t>
      </w:r>
      <w:r w:rsidRPr="000E63AE">
        <w:rPr>
          <w:rFonts w:ascii="Arial" w:hAnsi="Arial" w:cs="Arial"/>
          <w:sz w:val="22"/>
          <w:szCs w:val="22"/>
        </w:rPr>
        <w:t xml:space="preserve">, secure document </w:t>
      </w:r>
      <w:r>
        <w:rPr>
          <w:rFonts w:ascii="Arial" w:hAnsi="Arial" w:cs="Arial"/>
          <w:sz w:val="22"/>
          <w:szCs w:val="22"/>
        </w:rPr>
        <w:t xml:space="preserve">and supply </w:t>
      </w:r>
      <w:r w:rsidRPr="000E63AE">
        <w:rPr>
          <w:rFonts w:ascii="Arial" w:hAnsi="Arial" w:cs="Arial"/>
          <w:sz w:val="22"/>
          <w:szCs w:val="22"/>
        </w:rPr>
        <w:t>storage</w:t>
      </w:r>
      <w:r>
        <w:rPr>
          <w:rFonts w:ascii="Arial" w:hAnsi="Arial" w:cs="Arial"/>
          <w:sz w:val="22"/>
          <w:szCs w:val="22"/>
        </w:rPr>
        <w:t>, an</w:t>
      </w:r>
      <w:r w:rsidRPr="000E63AE">
        <w:rPr>
          <w:rFonts w:ascii="Arial" w:hAnsi="Arial" w:cs="Arial"/>
          <w:sz w:val="22"/>
          <w:szCs w:val="22"/>
        </w:rPr>
        <w:t xml:space="preserve"> office </w:t>
      </w:r>
      <w:r>
        <w:rPr>
          <w:rFonts w:ascii="Arial" w:hAnsi="Arial" w:cs="Arial"/>
          <w:sz w:val="22"/>
          <w:szCs w:val="22"/>
        </w:rPr>
        <w:t>to accommodate 5</w:t>
      </w:r>
      <w:r w:rsidRPr="000E63AE">
        <w:rPr>
          <w:rFonts w:ascii="Arial" w:hAnsi="Arial" w:cs="Arial"/>
          <w:sz w:val="22"/>
          <w:szCs w:val="22"/>
        </w:rPr>
        <w:t xml:space="preserve"> clinical coordinators</w:t>
      </w:r>
      <w:r>
        <w:rPr>
          <w:rFonts w:ascii="Arial" w:hAnsi="Arial" w:cs="Arial"/>
          <w:sz w:val="22"/>
          <w:szCs w:val="22"/>
        </w:rPr>
        <w:t>, as well as an office for the PCRU Medical Director</w:t>
      </w:r>
      <w:r w:rsidRPr="000E63AE">
        <w:rPr>
          <w:rFonts w:ascii="Arial" w:hAnsi="Arial" w:cs="Arial"/>
          <w:sz w:val="22"/>
          <w:szCs w:val="22"/>
        </w:rPr>
        <w:t>.  Recreational items such as games, crafts, TV, videos</w:t>
      </w:r>
      <w:r>
        <w:rPr>
          <w:rFonts w:ascii="Arial" w:hAnsi="Arial" w:cs="Arial"/>
          <w:sz w:val="22"/>
          <w:szCs w:val="22"/>
        </w:rPr>
        <w:t>, and gaming systems</w:t>
      </w:r>
      <w:r w:rsidRPr="000E63AE">
        <w:rPr>
          <w:rFonts w:ascii="Arial" w:hAnsi="Arial" w:cs="Arial"/>
          <w:sz w:val="22"/>
          <w:szCs w:val="22"/>
        </w:rPr>
        <w:t xml:space="preserve"> are available to entertain children during their stay. In addition, the Child Life staff may assist with constructive activities for children.  The facility is equipped with age-appropriate examination equipment, storage space, crash cart, and monitoring equipment.  Facilities are available for phlebotomy, urine collection, initial specimen processing, and temporary specimen storage prior to delivery to the laboratory.  This unit has been constructed to meet all applicable FDA/</w:t>
      </w:r>
      <w:smartTag w:uri="urn:schemas-microsoft-com:office:smarttags" w:element="stockticker">
        <w:r w:rsidRPr="000E63AE">
          <w:rPr>
            <w:rFonts w:ascii="Arial" w:hAnsi="Arial" w:cs="Arial"/>
            <w:sz w:val="22"/>
            <w:szCs w:val="22"/>
          </w:rPr>
          <w:t>ICH</w:t>
        </w:r>
      </w:smartTag>
      <w:r w:rsidRPr="000E63AE">
        <w:rPr>
          <w:rFonts w:ascii="Arial" w:hAnsi="Arial" w:cs="Arial"/>
          <w:sz w:val="22"/>
          <w:szCs w:val="22"/>
        </w:rPr>
        <w:t xml:space="preserve"> guidelines for a phase I study unit and fully meets accreditation standards by </w:t>
      </w:r>
      <w:r>
        <w:rPr>
          <w:rFonts w:ascii="Arial" w:hAnsi="Arial" w:cs="Arial"/>
          <w:sz w:val="22"/>
          <w:szCs w:val="22"/>
        </w:rPr>
        <w:t>the Joint Commission (JCAHO)</w:t>
      </w:r>
      <w:r w:rsidRPr="000E63AE">
        <w:rPr>
          <w:rFonts w:ascii="Arial" w:hAnsi="Arial" w:cs="Arial"/>
          <w:sz w:val="22"/>
          <w:szCs w:val="22"/>
        </w:rPr>
        <w:t>.</w:t>
      </w:r>
    </w:p>
    <w:p w14:paraId="1320AFD9" w14:textId="3586BDFE" w:rsidR="00A55D32" w:rsidRDefault="00A55D32" w:rsidP="00606099">
      <w:pPr>
        <w:shd w:val="clear" w:color="auto" w:fill="FFFFFF"/>
        <w:spacing w:after="120"/>
        <w:rPr>
          <w:rFonts w:ascii="Arial" w:hAnsi="Arial" w:cs="Arial"/>
          <w:b/>
          <w:bCs/>
          <w:color w:val="000000"/>
          <w:sz w:val="22"/>
          <w:szCs w:val="22"/>
          <w:shd w:val="clear" w:color="auto" w:fill="FFFFFF"/>
        </w:rPr>
      </w:pPr>
    </w:p>
    <w:p w14:paraId="1768999C" w14:textId="6E64E551" w:rsidR="002D026C" w:rsidRDefault="002D026C" w:rsidP="00606099">
      <w:pPr>
        <w:shd w:val="clear" w:color="auto" w:fill="FFFFFF"/>
        <w:spacing w:after="120"/>
        <w:rPr>
          <w:rFonts w:ascii="Arial" w:hAnsi="Arial" w:cs="Arial"/>
          <w:b/>
          <w:bCs/>
          <w:color w:val="000000"/>
          <w:sz w:val="22"/>
          <w:szCs w:val="22"/>
          <w:shd w:val="clear" w:color="auto" w:fill="FFFFFF"/>
        </w:rPr>
      </w:pPr>
      <w:r w:rsidRPr="008F23A3">
        <w:rPr>
          <w:rFonts w:ascii="Arial" w:hAnsi="Arial" w:cs="Arial"/>
          <w:b/>
          <w:bCs/>
          <w:noProof/>
          <w:color w:val="000000"/>
          <w:sz w:val="22"/>
          <w:szCs w:val="22"/>
          <w:shd w:val="clear" w:color="auto" w:fill="FFFFFF"/>
        </w:rPr>
        <w:drawing>
          <wp:inline distT="0" distB="0" distL="0" distR="0" wp14:anchorId="2FBE4C9D" wp14:editId="4C24CB71">
            <wp:extent cx="6858000" cy="17062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858000" cy="1706245"/>
                    </a:xfrm>
                    <a:prstGeom prst="rect">
                      <a:avLst/>
                    </a:prstGeom>
                  </pic:spPr>
                </pic:pic>
              </a:graphicData>
            </a:graphic>
          </wp:inline>
        </w:drawing>
      </w:r>
    </w:p>
    <w:p w14:paraId="32CAF4B2" w14:textId="77777777" w:rsidR="000D1F2F" w:rsidRPr="000D1F2F" w:rsidRDefault="000D1F2F" w:rsidP="000D1F2F">
      <w:pPr>
        <w:spacing w:after="120"/>
        <w:rPr>
          <w:rFonts w:ascii="Arial" w:eastAsia="Calibri" w:hAnsi="Arial" w:cs="Arial"/>
          <w:b/>
          <w:bCs/>
          <w:sz w:val="22"/>
          <w:szCs w:val="22"/>
        </w:rPr>
      </w:pPr>
      <w:r w:rsidRPr="000D1F2F">
        <w:rPr>
          <w:rFonts w:ascii="Arial" w:eastAsia="Calibri" w:hAnsi="Arial" w:cs="Arial"/>
          <w:b/>
          <w:bCs/>
          <w:sz w:val="22"/>
          <w:szCs w:val="22"/>
        </w:rPr>
        <w:t>Shared Equipment Core:</w:t>
      </w:r>
    </w:p>
    <w:p w14:paraId="6D4B9C0A" w14:textId="77777777" w:rsidR="00460765" w:rsidRPr="00460765" w:rsidRDefault="00460765" w:rsidP="00460765">
      <w:pPr>
        <w:shd w:val="clear" w:color="auto" w:fill="FFFFFF"/>
        <w:rPr>
          <w:rFonts w:ascii="Arial" w:eastAsia="Calibri" w:hAnsi="Arial" w:cs="Arial"/>
          <w:sz w:val="22"/>
          <w:szCs w:val="22"/>
        </w:rPr>
      </w:pPr>
      <w:r w:rsidRPr="00460765">
        <w:rPr>
          <w:rFonts w:ascii="Arial" w:eastAsia="Calibri" w:hAnsi="Arial" w:cs="Arial"/>
          <w:sz w:val="22"/>
          <w:szCs w:val="22"/>
        </w:rPr>
        <w:t xml:space="preserve">Equipment available for use by all research teams have been placed throughout the labs.  Where appropriate, qualified staff are available to train novice users on operations. The equipment holdings include: a </w:t>
      </w:r>
      <w:proofErr w:type="spellStart"/>
      <w:r w:rsidRPr="00460765">
        <w:rPr>
          <w:rFonts w:ascii="Arial" w:eastAsia="Calibri" w:hAnsi="Arial" w:cs="Arial"/>
          <w:sz w:val="22"/>
          <w:szCs w:val="22"/>
        </w:rPr>
        <w:t>Ziess</w:t>
      </w:r>
      <w:proofErr w:type="spellEnd"/>
      <w:r w:rsidRPr="00460765">
        <w:rPr>
          <w:rFonts w:ascii="Arial" w:eastAsia="Calibri" w:hAnsi="Arial" w:cs="Arial"/>
          <w:sz w:val="22"/>
          <w:szCs w:val="22"/>
        </w:rPr>
        <w:t xml:space="preserve"> LSM </w:t>
      </w:r>
      <w:r w:rsidRPr="00460765">
        <w:rPr>
          <w:rFonts w:ascii="Arial" w:eastAsia="Calibri" w:hAnsi="Arial" w:cs="Arial"/>
          <w:sz w:val="22"/>
          <w:szCs w:val="22"/>
        </w:rPr>
        <w:lastRenderedPageBreak/>
        <w:t xml:space="preserve">900 confocal microscope, 2 Keyence BZX microscopes, 2 </w:t>
      </w:r>
      <w:proofErr w:type="spellStart"/>
      <w:r w:rsidRPr="00460765">
        <w:rPr>
          <w:rFonts w:ascii="Arial" w:eastAsia="Calibri" w:hAnsi="Arial" w:cs="Arial"/>
          <w:sz w:val="22"/>
          <w:szCs w:val="22"/>
        </w:rPr>
        <w:t>BioRad</w:t>
      </w:r>
      <w:proofErr w:type="spellEnd"/>
      <w:r w:rsidRPr="00460765">
        <w:rPr>
          <w:rFonts w:ascii="Arial" w:eastAsia="Calibri" w:hAnsi="Arial" w:cs="Arial"/>
          <w:sz w:val="22"/>
          <w:szCs w:val="22"/>
        </w:rPr>
        <w:t xml:space="preserve"> QX200 droplet digital PCR systems, 2 Applied Biosystems </w:t>
      </w:r>
      <w:proofErr w:type="spellStart"/>
      <w:r w:rsidRPr="00460765">
        <w:rPr>
          <w:rFonts w:ascii="Arial" w:eastAsia="Calibri" w:hAnsi="Arial" w:cs="Arial"/>
          <w:sz w:val="22"/>
          <w:szCs w:val="22"/>
        </w:rPr>
        <w:t>QuantStudio</w:t>
      </w:r>
      <w:proofErr w:type="spellEnd"/>
      <w:r w:rsidRPr="00460765">
        <w:rPr>
          <w:rFonts w:ascii="Arial" w:eastAsia="Calibri" w:hAnsi="Arial" w:cs="Arial"/>
          <w:sz w:val="22"/>
          <w:szCs w:val="22"/>
        </w:rPr>
        <w:t xml:space="preserve"> 12K Flex real time PCR systems, 2 Applied Biosystems </w:t>
      </w:r>
      <w:proofErr w:type="spellStart"/>
      <w:r w:rsidRPr="00460765">
        <w:rPr>
          <w:rFonts w:ascii="Arial" w:eastAsia="Calibri" w:hAnsi="Arial" w:cs="Arial"/>
          <w:sz w:val="22"/>
          <w:szCs w:val="22"/>
        </w:rPr>
        <w:t>ViiA</w:t>
      </w:r>
      <w:proofErr w:type="spellEnd"/>
      <w:r w:rsidRPr="00460765">
        <w:rPr>
          <w:rFonts w:ascii="Arial" w:eastAsia="Calibri" w:hAnsi="Arial" w:cs="Arial"/>
          <w:sz w:val="22"/>
          <w:szCs w:val="22"/>
        </w:rPr>
        <w:t xml:space="preserve"> 7 RT-PCR systems, an Applied Biosystems </w:t>
      </w:r>
      <w:proofErr w:type="spellStart"/>
      <w:r w:rsidRPr="00460765">
        <w:rPr>
          <w:rFonts w:ascii="Arial" w:eastAsia="Calibri" w:hAnsi="Arial" w:cs="Arial"/>
          <w:sz w:val="22"/>
          <w:szCs w:val="22"/>
        </w:rPr>
        <w:t>SeqStudio</w:t>
      </w:r>
      <w:proofErr w:type="spellEnd"/>
      <w:r w:rsidRPr="00460765">
        <w:rPr>
          <w:rFonts w:ascii="Arial" w:eastAsia="Calibri" w:hAnsi="Arial" w:cs="Arial"/>
          <w:sz w:val="22"/>
          <w:szCs w:val="22"/>
        </w:rPr>
        <w:t xml:space="preserve"> Genetic Analyzer, a Qiagen </w:t>
      </w:r>
      <w:proofErr w:type="spellStart"/>
      <w:r w:rsidRPr="00460765">
        <w:rPr>
          <w:rFonts w:ascii="Arial" w:eastAsia="Calibri" w:hAnsi="Arial" w:cs="Arial"/>
          <w:sz w:val="22"/>
          <w:szCs w:val="22"/>
        </w:rPr>
        <w:t>Pyromark</w:t>
      </w:r>
      <w:proofErr w:type="spellEnd"/>
      <w:r w:rsidRPr="00460765">
        <w:rPr>
          <w:rFonts w:ascii="Arial" w:eastAsia="Calibri" w:hAnsi="Arial" w:cs="Arial"/>
          <w:sz w:val="22"/>
          <w:szCs w:val="22"/>
        </w:rPr>
        <w:t xml:space="preserve"> Q48 </w:t>
      </w:r>
      <w:proofErr w:type="spellStart"/>
      <w:r w:rsidRPr="00460765">
        <w:rPr>
          <w:rFonts w:ascii="Arial" w:eastAsia="Calibri" w:hAnsi="Arial" w:cs="Arial"/>
          <w:sz w:val="22"/>
          <w:szCs w:val="22"/>
        </w:rPr>
        <w:t>Autoprep</w:t>
      </w:r>
      <w:proofErr w:type="spellEnd"/>
      <w:r w:rsidRPr="00460765">
        <w:rPr>
          <w:rFonts w:ascii="Arial" w:eastAsia="Calibri" w:hAnsi="Arial" w:cs="Arial"/>
          <w:sz w:val="22"/>
          <w:szCs w:val="22"/>
        </w:rPr>
        <w:t xml:space="preserve"> sequencer, a BD Biosciences </w:t>
      </w:r>
      <w:proofErr w:type="spellStart"/>
      <w:r w:rsidRPr="00460765">
        <w:rPr>
          <w:rFonts w:ascii="Arial" w:eastAsia="Calibri" w:hAnsi="Arial" w:cs="Arial"/>
          <w:sz w:val="22"/>
          <w:szCs w:val="22"/>
        </w:rPr>
        <w:t>FACSAria</w:t>
      </w:r>
      <w:proofErr w:type="spellEnd"/>
      <w:r w:rsidRPr="00460765">
        <w:rPr>
          <w:rFonts w:ascii="Arial" w:eastAsia="Calibri" w:hAnsi="Arial" w:cs="Arial"/>
          <w:sz w:val="22"/>
          <w:szCs w:val="22"/>
        </w:rPr>
        <w:t xml:space="preserve"> Fusion flow cytometer, a BD Biosciences </w:t>
      </w:r>
      <w:proofErr w:type="spellStart"/>
      <w:r w:rsidRPr="00460765">
        <w:rPr>
          <w:rFonts w:ascii="Arial" w:eastAsia="Calibri" w:hAnsi="Arial" w:cs="Arial"/>
          <w:sz w:val="22"/>
          <w:szCs w:val="22"/>
        </w:rPr>
        <w:t>LSRFortessa</w:t>
      </w:r>
      <w:proofErr w:type="spellEnd"/>
      <w:r w:rsidRPr="00460765">
        <w:rPr>
          <w:rFonts w:ascii="Arial" w:eastAsia="Calibri" w:hAnsi="Arial" w:cs="Arial"/>
          <w:sz w:val="22"/>
          <w:szCs w:val="22"/>
        </w:rPr>
        <w:t xml:space="preserve"> X-20 flow cytometer, an Attune V6 flow cytometer, a </w:t>
      </w:r>
      <w:proofErr w:type="spellStart"/>
      <w:r w:rsidRPr="00460765">
        <w:rPr>
          <w:rFonts w:ascii="Arial" w:eastAsia="Calibri" w:hAnsi="Arial" w:cs="Arial"/>
          <w:sz w:val="22"/>
          <w:szCs w:val="22"/>
        </w:rPr>
        <w:t>Nanocellect</w:t>
      </w:r>
      <w:proofErr w:type="spellEnd"/>
      <w:r w:rsidRPr="00460765">
        <w:rPr>
          <w:rFonts w:ascii="Arial" w:eastAsia="Calibri" w:hAnsi="Arial" w:cs="Arial"/>
          <w:sz w:val="22"/>
          <w:szCs w:val="22"/>
        </w:rPr>
        <w:t xml:space="preserve"> Wolf cell sorter equipped with a N1 96-well plate cell dispenser, a PHCHD On-chip Sort with a single cell plate dispenser, an </w:t>
      </w:r>
      <w:proofErr w:type="spellStart"/>
      <w:r w:rsidRPr="00460765">
        <w:rPr>
          <w:rFonts w:ascii="Arial" w:eastAsia="Calibri" w:hAnsi="Arial" w:cs="Arial"/>
          <w:sz w:val="22"/>
          <w:szCs w:val="22"/>
        </w:rPr>
        <w:t>Isoplexis</w:t>
      </w:r>
      <w:proofErr w:type="spellEnd"/>
      <w:r w:rsidRPr="00460765">
        <w:rPr>
          <w:rFonts w:ascii="Arial" w:eastAsia="Calibri" w:hAnsi="Arial" w:cs="Arial"/>
          <w:sz w:val="22"/>
          <w:szCs w:val="22"/>
        </w:rPr>
        <w:t xml:space="preserve"> </w:t>
      </w:r>
      <w:proofErr w:type="spellStart"/>
      <w:r w:rsidRPr="00460765">
        <w:rPr>
          <w:rFonts w:ascii="Arial" w:eastAsia="Calibri" w:hAnsi="Arial" w:cs="Arial"/>
          <w:sz w:val="22"/>
          <w:szCs w:val="22"/>
        </w:rPr>
        <w:t>Isospark</w:t>
      </w:r>
      <w:proofErr w:type="spellEnd"/>
      <w:r w:rsidRPr="00460765">
        <w:rPr>
          <w:rFonts w:ascii="Arial" w:eastAsia="Calibri" w:hAnsi="Arial" w:cs="Arial"/>
          <w:sz w:val="22"/>
          <w:szCs w:val="22"/>
        </w:rPr>
        <w:t xml:space="preserve">, 3 Qiagen </w:t>
      </w:r>
      <w:proofErr w:type="spellStart"/>
      <w:r w:rsidRPr="00460765">
        <w:rPr>
          <w:rFonts w:ascii="Arial" w:eastAsia="Calibri" w:hAnsi="Arial" w:cs="Arial"/>
          <w:sz w:val="22"/>
          <w:szCs w:val="22"/>
        </w:rPr>
        <w:t>QIAcube</w:t>
      </w:r>
      <w:proofErr w:type="spellEnd"/>
      <w:r w:rsidRPr="00460765">
        <w:rPr>
          <w:rFonts w:ascii="Arial" w:eastAsia="Calibri" w:hAnsi="Arial" w:cs="Arial"/>
          <w:sz w:val="22"/>
          <w:szCs w:val="22"/>
        </w:rPr>
        <w:t xml:space="preserve"> instruments, 3 BMG Labtech </w:t>
      </w:r>
      <w:proofErr w:type="spellStart"/>
      <w:r w:rsidRPr="00460765">
        <w:rPr>
          <w:rFonts w:ascii="Arial" w:eastAsia="Calibri" w:hAnsi="Arial" w:cs="Arial"/>
          <w:sz w:val="22"/>
          <w:szCs w:val="22"/>
        </w:rPr>
        <w:t>CLARIOstar</w:t>
      </w:r>
      <w:r w:rsidRPr="00460765">
        <w:rPr>
          <w:rFonts w:ascii="Arial" w:eastAsia="Calibri" w:hAnsi="Arial" w:cs="Arial"/>
          <w:sz w:val="22"/>
          <w:szCs w:val="22"/>
          <w:vertAlign w:val="superscript"/>
        </w:rPr>
        <w:t>Plus</w:t>
      </w:r>
      <w:proofErr w:type="spellEnd"/>
      <w:r w:rsidRPr="00460765">
        <w:rPr>
          <w:rFonts w:ascii="Arial" w:eastAsia="Calibri" w:hAnsi="Arial" w:cs="Arial"/>
          <w:sz w:val="22"/>
          <w:szCs w:val="22"/>
        </w:rPr>
        <w:t xml:space="preserve"> multimode plate readers, 4 </w:t>
      </w:r>
      <w:proofErr w:type="spellStart"/>
      <w:r w:rsidRPr="00460765">
        <w:rPr>
          <w:rFonts w:ascii="Arial" w:eastAsia="Calibri" w:hAnsi="Arial" w:cs="Arial"/>
          <w:sz w:val="22"/>
          <w:szCs w:val="22"/>
        </w:rPr>
        <w:t>BioTek</w:t>
      </w:r>
      <w:proofErr w:type="spellEnd"/>
      <w:r w:rsidRPr="00460765">
        <w:rPr>
          <w:rFonts w:ascii="Arial" w:eastAsia="Calibri" w:hAnsi="Arial" w:cs="Arial"/>
          <w:sz w:val="22"/>
          <w:szCs w:val="22"/>
        </w:rPr>
        <w:t xml:space="preserve"> Epoch microplate spectrophotometers, an Agilent 2100 Bioanalyzer, 3 Thermo Fisher Scientific FL1500 </w:t>
      </w:r>
      <w:proofErr w:type="spellStart"/>
      <w:r w:rsidRPr="00460765">
        <w:rPr>
          <w:rFonts w:ascii="Arial" w:eastAsia="Calibri" w:hAnsi="Arial" w:cs="Arial"/>
          <w:sz w:val="22"/>
          <w:szCs w:val="22"/>
        </w:rPr>
        <w:t>iBright</w:t>
      </w:r>
      <w:proofErr w:type="spellEnd"/>
      <w:r w:rsidRPr="00460765">
        <w:rPr>
          <w:rFonts w:ascii="Arial" w:eastAsia="Calibri" w:hAnsi="Arial" w:cs="Arial"/>
          <w:sz w:val="22"/>
          <w:szCs w:val="22"/>
        </w:rPr>
        <w:t xml:space="preserve"> imagers, 2 Qubit 4.0 Fluorometers, a Thermo Fisher Scientific LYNX 600 centrifuge, a </w:t>
      </w:r>
      <w:proofErr w:type="spellStart"/>
      <w:r w:rsidRPr="00460765">
        <w:rPr>
          <w:rFonts w:ascii="Arial" w:eastAsia="Calibri" w:hAnsi="Arial" w:cs="Arial"/>
          <w:sz w:val="22"/>
          <w:szCs w:val="22"/>
        </w:rPr>
        <w:t>Sorvall</w:t>
      </w:r>
      <w:proofErr w:type="spellEnd"/>
      <w:r w:rsidRPr="00460765">
        <w:rPr>
          <w:rFonts w:ascii="Arial" w:eastAsia="Calibri" w:hAnsi="Arial" w:cs="Arial"/>
          <w:sz w:val="22"/>
          <w:szCs w:val="22"/>
        </w:rPr>
        <w:t xml:space="preserve"> MTX ultracentrifuge, and 5 </w:t>
      </w:r>
      <w:proofErr w:type="spellStart"/>
      <w:r w:rsidRPr="00460765">
        <w:rPr>
          <w:rFonts w:ascii="Arial" w:eastAsia="Calibri" w:hAnsi="Arial" w:cs="Arial"/>
          <w:sz w:val="22"/>
          <w:szCs w:val="22"/>
        </w:rPr>
        <w:t>Opentrons</w:t>
      </w:r>
      <w:proofErr w:type="spellEnd"/>
      <w:r w:rsidRPr="00460765">
        <w:rPr>
          <w:rFonts w:ascii="Arial" w:eastAsia="Calibri" w:hAnsi="Arial" w:cs="Arial"/>
          <w:sz w:val="22"/>
          <w:szCs w:val="22"/>
        </w:rPr>
        <w:t xml:space="preserve"> liquid handlers.</w:t>
      </w:r>
    </w:p>
    <w:p w14:paraId="07C9B0AA" w14:textId="1C6F1A2B" w:rsidR="00F62CE3" w:rsidRDefault="00F62CE3" w:rsidP="000D1F2F">
      <w:pPr>
        <w:shd w:val="clear" w:color="auto" w:fill="FFFFFF"/>
        <w:rPr>
          <w:rFonts w:ascii="Arial" w:hAnsi="Arial" w:cs="Arial"/>
          <w:color w:val="000000"/>
          <w:sz w:val="22"/>
          <w:szCs w:val="22"/>
          <w:shd w:val="clear" w:color="auto" w:fill="FFFFFF"/>
        </w:rPr>
      </w:pPr>
    </w:p>
    <w:p w14:paraId="66AA9826" w14:textId="77777777" w:rsidR="000D1F2F" w:rsidRPr="00F62CE3" w:rsidRDefault="000D1F2F" w:rsidP="00F62CE3">
      <w:pPr>
        <w:shd w:val="clear" w:color="auto" w:fill="FFFFFF"/>
        <w:rPr>
          <w:rFonts w:ascii="Arial" w:hAnsi="Arial" w:cs="Arial"/>
          <w:color w:val="000000"/>
          <w:sz w:val="22"/>
          <w:szCs w:val="22"/>
          <w:shd w:val="clear" w:color="auto" w:fill="FFFFFF"/>
        </w:rPr>
      </w:pPr>
    </w:p>
    <w:p w14:paraId="0504F651" w14:textId="65162778" w:rsidR="000012AD" w:rsidRDefault="000012AD" w:rsidP="000012AD">
      <w:pPr>
        <w:shd w:val="clear" w:color="auto" w:fill="FFFFFF"/>
        <w:spacing w:after="120"/>
        <w:rPr>
          <w:rFonts w:ascii="Arial" w:hAnsi="Arial" w:cs="Arial"/>
          <w:b/>
          <w:bCs/>
          <w:color w:val="000000"/>
          <w:sz w:val="22"/>
          <w:szCs w:val="22"/>
          <w:shd w:val="clear" w:color="auto" w:fill="FFFFFF"/>
        </w:rPr>
      </w:pPr>
      <w:r>
        <w:rPr>
          <w:rFonts w:ascii="Arial" w:hAnsi="Arial" w:cs="Arial"/>
          <w:b/>
          <w:bCs/>
          <w:color w:val="000000"/>
          <w:sz w:val="22"/>
          <w:szCs w:val="22"/>
          <w:shd w:val="clear" w:color="auto" w:fill="FFFFFF"/>
        </w:rPr>
        <w:t>Animal Resource Center</w:t>
      </w:r>
      <w:r w:rsidR="0027214D">
        <w:rPr>
          <w:rFonts w:ascii="Arial" w:hAnsi="Arial" w:cs="Arial"/>
          <w:b/>
          <w:bCs/>
          <w:color w:val="000000"/>
          <w:sz w:val="22"/>
          <w:szCs w:val="22"/>
          <w:shd w:val="clear" w:color="auto" w:fill="FFFFFF"/>
        </w:rPr>
        <w:t xml:space="preserve"> </w:t>
      </w:r>
    </w:p>
    <w:p w14:paraId="72D8110D" w14:textId="77777777" w:rsidR="0027214D" w:rsidRPr="0027214D" w:rsidRDefault="0027214D" w:rsidP="001A241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ind w:right="360"/>
        <w:rPr>
          <w:rFonts w:ascii="Arial" w:hAnsi="Arial" w:cs="Arial"/>
          <w:sz w:val="22"/>
          <w:szCs w:val="22"/>
        </w:rPr>
      </w:pPr>
      <w:r w:rsidRPr="0027214D">
        <w:rPr>
          <w:rFonts w:ascii="Arial" w:hAnsi="Arial" w:cs="Arial"/>
          <w:sz w:val="22"/>
          <w:szCs w:val="22"/>
        </w:rPr>
        <w:t>The CMRI ARC is a state-of-the art animal facility that is operated as a rodent barrier facility with strict specific pathogen-free importation protocols and stringent animal health and pathogen monitoring.  This new vivarium opened in July 2021 and is housed in approximately 15,250 sq. ft. on the 6</w:t>
      </w:r>
      <w:r w:rsidRPr="0027214D">
        <w:rPr>
          <w:rFonts w:ascii="Arial" w:hAnsi="Arial" w:cs="Arial"/>
          <w:sz w:val="22"/>
          <w:szCs w:val="22"/>
          <w:vertAlign w:val="superscript"/>
        </w:rPr>
        <w:t>th</w:t>
      </w:r>
      <w:r w:rsidRPr="0027214D">
        <w:rPr>
          <w:rFonts w:ascii="Arial" w:hAnsi="Arial" w:cs="Arial"/>
          <w:sz w:val="22"/>
          <w:szCs w:val="22"/>
        </w:rPr>
        <w:t xml:space="preserve"> floor of the CMRI building, with adjacent shelled space available for growth. The ARC vivarium is equipped with locker rooms and air showers for staff entry, dedicated mouse and rat animal holding rooms, an Animal BSL2 animal holding space, procedural spaces, a containment suite, and additional support areas. The ARC has animal holding space for approximately 2200 rodent cages.  Animals are housed in irradiated individually ventilated disposable cages and are provided with irradiated feed and irradiated acidified water. </w:t>
      </w:r>
    </w:p>
    <w:p w14:paraId="66130972" w14:textId="77777777" w:rsidR="0027214D" w:rsidRPr="0027214D" w:rsidRDefault="0027214D" w:rsidP="001A241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ind w:right="360"/>
        <w:rPr>
          <w:rFonts w:ascii="Arial" w:hAnsi="Arial" w:cs="Arial"/>
          <w:sz w:val="22"/>
          <w:szCs w:val="22"/>
        </w:rPr>
      </w:pPr>
    </w:p>
    <w:p w14:paraId="035E3FA5" w14:textId="77777777" w:rsidR="0027214D" w:rsidRPr="0027214D" w:rsidRDefault="0027214D" w:rsidP="001A241F">
      <w:pPr>
        <w:spacing w:after="160"/>
        <w:rPr>
          <w:rFonts w:ascii="Calibri" w:eastAsia="Calibri" w:hAnsi="Calibri"/>
          <w:sz w:val="22"/>
          <w:szCs w:val="22"/>
        </w:rPr>
      </w:pPr>
      <w:r w:rsidRPr="0027214D">
        <w:rPr>
          <w:rFonts w:ascii="Arial" w:eastAsia="Calibri" w:hAnsi="Arial" w:cs="Arial"/>
          <w:sz w:val="22"/>
          <w:szCs w:val="22"/>
        </w:rPr>
        <w:t>The ARC provides veterinary and animal husbandry services to CMRI’s animal care and use program.  ARC services include clinical veterinary care, emergency veterinary care, animal procurement and transportation, animal health surveillance/preventive medicine, animal husbandry, animal enrichment, investigator training and investigator support (protocol development, technical support).  The ARC staff conduct daily animal health observations.  Any abnormal finding pertaining to animal health is reported by the veterinary technician or vivarium manager to the veterinarian and the investigator.   Emergency veterinary medical care is available 24 hours a day, 7 days a week by calling the on-call veterinarian.  A veterinarian and an ARC staff member are designated on call for weekends and holidays on a rotating basis.  The emergency call list is posted at the entrance to the laboratory animal facility.</w:t>
      </w:r>
    </w:p>
    <w:p w14:paraId="51BC5FA0" w14:textId="77777777" w:rsidR="0027214D" w:rsidRPr="0027214D" w:rsidRDefault="0027214D" w:rsidP="001A241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ind w:right="360"/>
        <w:rPr>
          <w:rFonts w:ascii="Arial" w:hAnsi="Arial" w:cs="Arial"/>
          <w:sz w:val="22"/>
          <w:szCs w:val="22"/>
        </w:rPr>
      </w:pPr>
      <w:r w:rsidRPr="0027214D">
        <w:rPr>
          <w:rFonts w:ascii="Arial" w:hAnsi="Arial" w:cs="Arial"/>
          <w:sz w:val="22"/>
          <w:szCs w:val="22"/>
          <w:u w:val="single"/>
        </w:rPr>
        <w:t>ARC vivarium equipment</w:t>
      </w:r>
      <w:r w:rsidRPr="0027214D">
        <w:rPr>
          <w:rFonts w:ascii="Arial" w:hAnsi="Arial" w:cs="Arial"/>
          <w:sz w:val="22"/>
          <w:szCs w:val="22"/>
        </w:rPr>
        <w:t xml:space="preserve">:  ARC vivarium equipment includes a rack washer, misting tunnel, autoclave, dry heat sterilizer, HEPA-filtered animal change stations, biosafety cabinets, and a vaporized hydrogen peroxide (VHP) decontamination suite to support maintenance of the animal facility pathogen-free barrier status.  </w:t>
      </w:r>
    </w:p>
    <w:p w14:paraId="42AD704A" w14:textId="77777777" w:rsidR="0027214D" w:rsidRPr="0027214D" w:rsidRDefault="0027214D" w:rsidP="001A241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ind w:right="360"/>
        <w:rPr>
          <w:rFonts w:ascii="Arial" w:hAnsi="Arial" w:cs="Arial"/>
          <w:sz w:val="22"/>
          <w:szCs w:val="22"/>
        </w:rPr>
      </w:pPr>
    </w:p>
    <w:p w14:paraId="12B9A7B1" w14:textId="77777777" w:rsidR="0027214D" w:rsidRPr="0027214D" w:rsidRDefault="0027214D" w:rsidP="001A241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ind w:right="360"/>
        <w:rPr>
          <w:rFonts w:ascii="Arial" w:hAnsi="Arial" w:cs="Arial"/>
          <w:sz w:val="22"/>
          <w:szCs w:val="22"/>
        </w:rPr>
      </w:pPr>
      <w:r w:rsidRPr="0027214D">
        <w:rPr>
          <w:rFonts w:ascii="Arial" w:hAnsi="Arial" w:cs="Arial"/>
          <w:sz w:val="22"/>
          <w:szCs w:val="22"/>
          <w:u w:val="single"/>
        </w:rPr>
        <w:t>Research equipment</w:t>
      </w:r>
      <w:r w:rsidRPr="0027214D">
        <w:rPr>
          <w:rFonts w:ascii="Arial" w:hAnsi="Arial" w:cs="Arial"/>
          <w:sz w:val="22"/>
          <w:szCs w:val="22"/>
        </w:rPr>
        <w:t xml:space="preserve">:  </w:t>
      </w:r>
      <w:r w:rsidRPr="0027214D">
        <w:rPr>
          <w:rFonts w:ascii="Arial" w:eastAsia="Arial" w:hAnsi="Arial" w:cs="Arial"/>
          <w:color w:val="000000"/>
          <w:sz w:val="22"/>
          <w:szCs w:val="22"/>
        </w:rPr>
        <w:t>Research equipment within the ARC barrier space available for investigator use includes:</w:t>
      </w:r>
    </w:p>
    <w:p w14:paraId="7762FED9" w14:textId="77777777" w:rsidR="0027214D" w:rsidRPr="0027214D" w:rsidRDefault="0027214D" w:rsidP="001A241F">
      <w:pPr>
        <w:numPr>
          <w:ilvl w:val="0"/>
          <w:numId w:val="7"/>
        </w:numPr>
        <w:spacing w:after="160"/>
        <w:textAlignment w:val="baseline"/>
        <w:rPr>
          <w:rFonts w:ascii="Arial" w:hAnsi="Arial" w:cs="Arial"/>
          <w:sz w:val="22"/>
          <w:szCs w:val="22"/>
        </w:rPr>
      </w:pPr>
      <w:r w:rsidRPr="0027214D">
        <w:rPr>
          <w:rFonts w:ascii="Arial" w:hAnsi="Arial" w:cs="Arial"/>
          <w:sz w:val="22"/>
          <w:szCs w:val="22"/>
        </w:rPr>
        <w:t xml:space="preserve">Rad Source RS 2000 Small Animal Irradiator for whole animal X-ray irradiation.  The RS 2000 specializes in providing non-isotope, ionizing irradiation that is similar to the radioactive sources cobalt-60 and cesium-137.  RS 2000 uses X-ray tube technology and RAD+ reflector to generate an efficient and uniform X-ray ionizing radiation field to provide excellent irradiation effect and good repeatability.  </w:t>
      </w:r>
    </w:p>
    <w:p w14:paraId="2BD7CAF6" w14:textId="77777777" w:rsidR="0027214D" w:rsidRPr="0027214D" w:rsidRDefault="0027214D" w:rsidP="001A241F">
      <w:pPr>
        <w:numPr>
          <w:ilvl w:val="0"/>
          <w:numId w:val="7"/>
        </w:numPr>
        <w:spacing w:after="160"/>
        <w:textAlignment w:val="baseline"/>
        <w:rPr>
          <w:rFonts w:ascii="Arial" w:hAnsi="Arial" w:cs="Arial"/>
          <w:i/>
          <w:iCs/>
          <w:sz w:val="22"/>
          <w:szCs w:val="22"/>
        </w:rPr>
      </w:pPr>
      <w:r w:rsidRPr="0027214D">
        <w:rPr>
          <w:rFonts w:ascii="Arial" w:hAnsi="Arial" w:cs="Arial"/>
          <w:sz w:val="22"/>
          <w:szCs w:val="22"/>
        </w:rPr>
        <w:t xml:space="preserve">Bruker </w:t>
      </w:r>
      <w:proofErr w:type="spellStart"/>
      <w:r w:rsidRPr="0027214D">
        <w:rPr>
          <w:rFonts w:ascii="Arial" w:hAnsi="Arial" w:cs="Arial"/>
          <w:sz w:val="22"/>
          <w:szCs w:val="22"/>
        </w:rPr>
        <w:t>SkyScan</w:t>
      </w:r>
      <w:proofErr w:type="spellEnd"/>
      <w:r w:rsidRPr="0027214D">
        <w:rPr>
          <w:rFonts w:ascii="Arial" w:hAnsi="Arial" w:cs="Arial"/>
          <w:sz w:val="22"/>
          <w:szCs w:val="22"/>
        </w:rPr>
        <w:t xml:space="preserve"> 1276 Micro-CT imager, a high performance, stand-alone, fast, desktop in-vivo micro-CT with continuously variable magnification for scanning small laboratory animals.</w:t>
      </w:r>
    </w:p>
    <w:p w14:paraId="10920A39" w14:textId="77777777" w:rsidR="0027214D" w:rsidRPr="0027214D" w:rsidRDefault="0027214D" w:rsidP="001A241F">
      <w:pPr>
        <w:numPr>
          <w:ilvl w:val="0"/>
          <w:numId w:val="7"/>
        </w:numPr>
        <w:spacing w:after="160"/>
        <w:textAlignment w:val="baseline"/>
        <w:rPr>
          <w:rFonts w:ascii="Arial" w:hAnsi="Arial" w:cs="Arial"/>
          <w:sz w:val="22"/>
          <w:szCs w:val="22"/>
        </w:rPr>
      </w:pPr>
      <w:r w:rsidRPr="0027214D">
        <w:rPr>
          <w:rFonts w:ascii="Arial" w:hAnsi="Arial" w:cs="Arial"/>
          <w:sz w:val="22"/>
          <w:szCs w:val="22"/>
        </w:rPr>
        <w:t xml:space="preserve">PerkinElmer IVIS Lumina X5, a high-sensitivity, low-noise imaging system providing in vivo fluorescent and bioluminescent imaging together with X-ray capability. </w:t>
      </w:r>
    </w:p>
    <w:p w14:paraId="4D9EF1CA" w14:textId="77777777" w:rsidR="0027214D" w:rsidRPr="0027214D" w:rsidRDefault="0027214D" w:rsidP="001A241F">
      <w:pPr>
        <w:numPr>
          <w:ilvl w:val="0"/>
          <w:numId w:val="7"/>
        </w:numPr>
        <w:spacing w:after="160"/>
        <w:textAlignment w:val="baseline"/>
        <w:rPr>
          <w:rFonts w:ascii="Arial" w:hAnsi="Arial" w:cs="Arial"/>
          <w:i/>
          <w:iCs/>
          <w:sz w:val="22"/>
          <w:szCs w:val="22"/>
        </w:rPr>
      </w:pPr>
      <w:proofErr w:type="spellStart"/>
      <w:r w:rsidRPr="0027214D">
        <w:rPr>
          <w:rFonts w:ascii="Arial" w:hAnsi="Arial" w:cs="Arial"/>
          <w:sz w:val="22"/>
          <w:szCs w:val="22"/>
        </w:rPr>
        <w:t>Faxitron</w:t>
      </w:r>
      <w:proofErr w:type="spellEnd"/>
      <w:r w:rsidRPr="0027214D">
        <w:rPr>
          <w:rFonts w:ascii="Arial" w:hAnsi="Arial" w:cs="Arial"/>
          <w:sz w:val="22"/>
          <w:szCs w:val="22"/>
        </w:rPr>
        <w:t xml:space="preserve"> </w:t>
      </w:r>
      <w:proofErr w:type="spellStart"/>
      <w:r w:rsidRPr="0027214D">
        <w:rPr>
          <w:rFonts w:ascii="Arial" w:hAnsi="Arial" w:cs="Arial"/>
          <w:sz w:val="22"/>
          <w:szCs w:val="22"/>
        </w:rPr>
        <w:t>UltraFocus</w:t>
      </w:r>
      <w:proofErr w:type="spellEnd"/>
      <w:r w:rsidRPr="0027214D">
        <w:rPr>
          <w:rFonts w:ascii="Arial" w:hAnsi="Arial" w:cs="Arial"/>
          <w:sz w:val="22"/>
          <w:szCs w:val="22"/>
        </w:rPr>
        <w:t xml:space="preserve"> Dual Energy X-Ray Absorptiometry (DXA) Specimen Radiography System, a fully shielded x-ray cabinet designed for high-resolution imaging and dual-energy X-ray absorptiometry (DXA) analysis.  The system automatically calculates bone mineral density (BMD), bone mineral content (BMC), and body composition in under three minutes.  Both whole body and region of interest (ROI) data can be selected, and separate bone, lean and fat tissue maps are presented to simplify ROI analysis.  </w:t>
      </w:r>
    </w:p>
    <w:p w14:paraId="7BC97914" w14:textId="4A571517" w:rsidR="0027214D" w:rsidRDefault="0027214D" w:rsidP="001A241F">
      <w:pPr>
        <w:numPr>
          <w:ilvl w:val="0"/>
          <w:numId w:val="7"/>
        </w:numPr>
        <w:spacing w:after="160"/>
        <w:textAlignment w:val="baseline"/>
        <w:rPr>
          <w:rFonts w:ascii="Arial" w:hAnsi="Arial" w:cs="Arial"/>
          <w:sz w:val="22"/>
          <w:szCs w:val="22"/>
        </w:rPr>
      </w:pPr>
      <w:r w:rsidRPr="0027214D">
        <w:rPr>
          <w:rFonts w:ascii="Arial" w:hAnsi="Arial" w:cs="Arial"/>
          <w:sz w:val="22"/>
          <w:szCs w:val="22"/>
        </w:rPr>
        <w:t>Isoflurane anesthesia stations for surgical procedures.</w:t>
      </w:r>
    </w:p>
    <w:p w14:paraId="5E0981D5" w14:textId="77777777" w:rsidR="000D1F2F" w:rsidRPr="00567D13" w:rsidRDefault="000D1F2F" w:rsidP="000D1F2F">
      <w:pPr>
        <w:numPr>
          <w:ilvl w:val="0"/>
          <w:numId w:val="7"/>
        </w:numPr>
        <w:spacing w:after="160"/>
        <w:textAlignment w:val="baseline"/>
        <w:rPr>
          <w:rFonts w:ascii="Arial" w:hAnsi="Arial" w:cs="Arial"/>
          <w:i/>
          <w:iCs/>
          <w:sz w:val="22"/>
          <w:szCs w:val="22"/>
        </w:rPr>
      </w:pPr>
      <w:r>
        <w:rPr>
          <w:rFonts w:ascii="Arial" w:hAnsi="Arial" w:cs="Arial"/>
          <w:sz w:val="22"/>
          <w:szCs w:val="22"/>
        </w:rPr>
        <w:lastRenderedPageBreak/>
        <w:t>Beam Balance Test for motor coordination and balance in rodents.</w:t>
      </w:r>
    </w:p>
    <w:p w14:paraId="2DC6BD45" w14:textId="77777777" w:rsidR="000D1F2F" w:rsidRPr="00567D13" w:rsidRDefault="000D1F2F" w:rsidP="000D1F2F">
      <w:pPr>
        <w:numPr>
          <w:ilvl w:val="0"/>
          <w:numId w:val="7"/>
        </w:numPr>
        <w:spacing w:after="160"/>
        <w:textAlignment w:val="baseline"/>
        <w:rPr>
          <w:rFonts w:ascii="Arial" w:hAnsi="Arial" w:cs="Arial"/>
          <w:i/>
          <w:iCs/>
          <w:sz w:val="22"/>
          <w:szCs w:val="22"/>
        </w:rPr>
      </w:pPr>
      <w:r>
        <w:rPr>
          <w:rFonts w:ascii="Arial" w:hAnsi="Arial" w:cs="Arial"/>
          <w:sz w:val="22"/>
          <w:szCs w:val="22"/>
        </w:rPr>
        <w:t xml:space="preserve">Rota Rod for motor coordination, endurance, and fatigue resistance studies in rodents. </w:t>
      </w:r>
    </w:p>
    <w:p w14:paraId="3C57C154" w14:textId="77777777" w:rsidR="000D1F2F" w:rsidRPr="00A14FCA" w:rsidRDefault="000D1F2F" w:rsidP="000D1F2F">
      <w:pPr>
        <w:numPr>
          <w:ilvl w:val="0"/>
          <w:numId w:val="7"/>
        </w:numPr>
        <w:spacing w:after="160"/>
        <w:textAlignment w:val="baseline"/>
        <w:rPr>
          <w:rFonts w:ascii="Arial" w:hAnsi="Arial" w:cs="Arial"/>
          <w:i/>
          <w:iCs/>
          <w:sz w:val="22"/>
          <w:szCs w:val="22"/>
        </w:rPr>
      </w:pPr>
      <w:r>
        <w:rPr>
          <w:rFonts w:ascii="Arial" w:hAnsi="Arial" w:cs="Arial"/>
          <w:sz w:val="22"/>
          <w:szCs w:val="22"/>
        </w:rPr>
        <w:t xml:space="preserve">Grip Strength Meter for evaluation of muscular strength in rodents. </w:t>
      </w:r>
    </w:p>
    <w:p w14:paraId="09D0EEC6" w14:textId="2FF32798" w:rsidR="000D1F2F" w:rsidRPr="000D1F2F" w:rsidRDefault="000D1F2F" w:rsidP="000D1F2F">
      <w:pPr>
        <w:numPr>
          <w:ilvl w:val="0"/>
          <w:numId w:val="7"/>
        </w:numPr>
        <w:spacing w:after="160"/>
        <w:textAlignment w:val="baseline"/>
        <w:rPr>
          <w:rFonts w:ascii="Arial" w:hAnsi="Arial" w:cs="Arial"/>
          <w:sz w:val="22"/>
          <w:szCs w:val="22"/>
        </w:rPr>
      </w:pPr>
      <w:r w:rsidRPr="0027214D">
        <w:rPr>
          <w:rFonts w:ascii="Arial" w:hAnsi="Arial" w:cs="Arial"/>
          <w:sz w:val="22"/>
          <w:szCs w:val="22"/>
        </w:rPr>
        <w:t>Isoflurane anesthesia stations for surgical procedures.</w:t>
      </w:r>
    </w:p>
    <w:p w14:paraId="1DF51138" w14:textId="467CEB77" w:rsidR="0027214D" w:rsidRDefault="0027214D" w:rsidP="001A241F">
      <w:pPr>
        <w:textAlignment w:val="baseline"/>
        <w:rPr>
          <w:rFonts w:ascii="Arial" w:hAnsi="Arial" w:cs="Arial"/>
          <w:sz w:val="22"/>
          <w:szCs w:val="22"/>
        </w:rPr>
      </w:pPr>
      <w:r w:rsidRPr="0027214D">
        <w:rPr>
          <w:rFonts w:ascii="Arial" w:hAnsi="Arial" w:cs="Arial"/>
          <w:sz w:val="22"/>
          <w:szCs w:val="22"/>
        </w:rPr>
        <w:t xml:space="preserve">The ARC, in conjunction with the CMRI IACUC, is committed to maintaining an exemplary program of animal care and use at CMRI. </w:t>
      </w:r>
    </w:p>
    <w:p w14:paraId="41621A5C" w14:textId="6B9A0500" w:rsidR="0027214D" w:rsidRDefault="0027214D" w:rsidP="0027214D">
      <w:pPr>
        <w:textAlignment w:val="baseline"/>
        <w:rPr>
          <w:rFonts w:ascii="Arial" w:hAnsi="Arial" w:cs="Arial"/>
          <w:sz w:val="22"/>
          <w:szCs w:val="22"/>
        </w:rPr>
      </w:pPr>
    </w:p>
    <w:p w14:paraId="2CF931F3" w14:textId="77777777" w:rsidR="0095377F" w:rsidRDefault="0095377F" w:rsidP="0027214D">
      <w:pPr>
        <w:textAlignment w:val="baseline"/>
        <w:rPr>
          <w:rFonts w:ascii="Arial" w:hAnsi="Arial" w:cs="Arial"/>
          <w:b/>
          <w:bCs/>
          <w:sz w:val="22"/>
          <w:szCs w:val="22"/>
        </w:rPr>
      </w:pPr>
    </w:p>
    <w:p w14:paraId="0EBEB914" w14:textId="3E4D0D04" w:rsidR="0027214D" w:rsidRDefault="0027214D" w:rsidP="0027214D">
      <w:pPr>
        <w:textAlignment w:val="baseline"/>
        <w:rPr>
          <w:rFonts w:ascii="Arial" w:hAnsi="Arial" w:cs="Arial"/>
          <w:b/>
          <w:bCs/>
          <w:sz w:val="22"/>
          <w:szCs w:val="22"/>
        </w:rPr>
      </w:pPr>
      <w:r w:rsidRPr="0027214D">
        <w:rPr>
          <w:rFonts w:ascii="Arial" w:hAnsi="Arial" w:cs="Arial"/>
          <w:b/>
          <w:bCs/>
          <w:sz w:val="22"/>
          <w:szCs w:val="22"/>
        </w:rPr>
        <w:t>CMRI Animal Research Program</w:t>
      </w:r>
    </w:p>
    <w:p w14:paraId="096A8301" w14:textId="563076D5" w:rsidR="0027214D" w:rsidRDefault="0027214D" w:rsidP="0027214D">
      <w:pPr>
        <w:textAlignment w:val="baseline"/>
        <w:rPr>
          <w:rFonts w:ascii="Arial" w:hAnsi="Arial" w:cs="Arial"/>
          <w:b/>
          <w:bCs/>
          <w:sz w:val="22"/>
          <w:szCs w:val="22"/>
        </w:rPr>
      </w:pPr>
    </w:p>
    <w:p w14:paraId="3EEF2365" w14:textId="7064A09E" w:rsidR="00380E75" w:rsidRDefault="00380E75" w:rsidP="00380E7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ind w:right="360"/>
        <w:rPr>
          <w:rFonts w:ascii="Arial" w:hAnsi="Arial" w:cs="Arial"/>
          <w:sz w:val="22"/>
          <w:szCs w:val="22"/>
        </w:rPr>
      </w:pPr>
      <w:r w:rsidRPr="0027214D">
        <w:rPr>
          <w:rFonts w:ascii="Arial" w:hAnsi="Arial" w:cs="Arial"/>
          <w:sz w:val="22"/>
          <w:szCs w:val="22"/>
        </w:rPr>
        <w:t>The CMH Animal Care and Use Program is a component of the CMRI Office of Research Integrity (</w:t>
      </w:r>
      <w:r>
        <w:rPr>
          <w:rFonts w:ascii="Arial" w:hAnsi="Arial" w:cs="Arial"/>
          <w:sz w:val="22"/>
          <w:szCs w:val="22"/>
        </w:rPr>
        <w:t>Saskia Derritt</w:t>
      </w:r>
      <w:r w:rsidRPr="0027214D">
        <w:rPr>
          <w:rFonts w:ascii="Arial" w:hAnsi="Arial" w:cs="Arial"/>
          <w:sz w:val="22"/>
          <w:szCs w:val="22"/>
        </w:rPr>
        <w:t>, Director) and is overseen by the CMH Institutional Animal Care and Use Committee (IACUC; Mary Tomlinson, Institutional Official; Jay Vivian</w:t>
      </w:r>
      <w:r>
        <w:rPr>
          <w:rFonts w:ascii="Arial" w:hAnsi="Arial" w:cs="Arial"/>
          <w:sz w:val="22"/>
          <w:szCs w:val="22"/>
        </w:rPr>
        <w:t xml:space="preserve"> PhD</w:t>
      </w:r>
      <w:r w:rsidRPr="0027214D">
        <w:rPr>
          <w:rFonts w:ascii="Arial" w:hAnsi="Arial" w:cs="Arial"/>
          <w:sz w:val="22"/>
          <w:szCs w:val="22"/>
        </w:rPr>
        <w:t>, IACUC Chair; Rebecca Wiltshire, DVM, DACLAM, CPIA, Attending Veterinarian).  The CMH Animal Care and Use Program</w:t>
      </w:r>
      <w:r w:rsidRPr="0027214D" w:rsidDel="00B57C42">
        <w:rPr>
          <w:rFonts w:ascii="Arial" w:hAnsi="Arial" w:cs="Arial"/>
          <w:sz w:val="22"/>
          <w:szCs w:val="22"/>
        </w:rPr>
        <w:t xml:space="preserve"> </w:t>
      </w:r>
      <w:r w:rsidRPr="0027214D">
        <w:rPr>
          <w:rFonts w:ascii="Arial" w:hAnsi="Arial" w:cs="Arial"/>
          <w:sz w:val="22"/>
          <w:szCs w:val="22"/>
        </w:rPr>
        <w:t>obtained PHS Animal Welfare Assurance in Sept</w:t>
      </w:r>
      <w:r w:rsidR="00721971">
        <w:rPr>
          <w:rFonts w:ascii="Arial" w:hAnsi="Arial" w:cs="Arial"/>
          <w:sz w:val="22"/>
          <w:szCs w:val="22"/>
        </w:rPr>
        <w:t>ember</w:t>
      </w:r>
      <w:r w:rsidRPr="0027214D">
        <w:rPr>
          <w:rFonts w:ascii="Arial" w:hAnsi="Arial" w:cs="Arial"/>
          <w:sz w:val="22"/>
          <w:szCs w:val="22"/>
        </w:rPr>
        <w:t xml:space="preserve"> 2021 (D21-01116) and </w:t>
      </w:r>
      <w:r>
        <w:rPr>
          <w:rFonts w:ascii="Arial" w:hAnsi="Arial" w:cs="Arial"/>
          <w:sz w:val="22"/>
          <w:szCs w:val="22"/>
        </w:rPr>
        <w:t xml:space="preserve">has </w:t>
      </w:r>
      <w:r w:rsidR="000C1E09">
        <w:rPr>
          <w:rFonts w:ascii="Arial" w:hAnsi="Arial" w:cs="Arial"/>
          <w:sz w:val="22"/>
          <w:szCs w:val="22"/>
        </w:rPr>
        <w:t xml:space="preserve">obtained </w:t>
      </w:r>
      <w:r w:rsidR="00722463">
        <w:rPr>
          <w:rFonts w:ascii="Arial" w:hAnsi="Arial" w:cs="Arial"/>
          <w:sz w:val="22"/>
          <w:szCs w:val="22"/>
        </w:rPr>
        <w:t>Full A</w:t>
      </w:r>
      <w:r w:rsidRPr="0027214D">
        <w:rPr>
          <w:rFonts w:ascii="Arial" w:hAnsi="Arial" w:cs="Arial"/>
          <w:sz w:val="22"/>
          <w:szCs w:val="22"/>
        </w:rPr>
        <w:t>ccreditation by AAALAC International</w:t>
      </w:r>
      <w:r w:rsidR="00722463">
        <w:rPr>
          <w:rFonts w:ascii="Arial" w:hAnsi="Arial" w:cs="Arial"/>
          <w:sz w:val="22"/>
          <w:szCs w:val="22"/>
        </w:rPr>
        <w:t xml:space="preserve"> in October 2023.</w:t>
      </w:r>
      <w:r w:rsidRPr="0027214D">
        <w:rPr>
          <w:rFonts w:ascii="Arial" w:hAnsi="Arial" w:cs="Arial"/>
          <w:sz w:val="22"/>
          <w:szCs w:val="22"/>
        </w:rPr>
        <w:t xml:space="preserve">  </w:t>
      </w:r>
    </w:p>
    <w:p w14:paraId="1674DF10" w14:textId="1C9E1BC4" w:rsidR="006A60C8" w:rsidRPr="006A60C8" w:rsidRDefault="006A60C8" w:rsidP="0027214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ind w:right="360"/>
        <w:rPr>
          <w:rFonts w:ascii="Arial" w:hAnsi="Arial" w:cs="Arial"/>
          <w:b/>
          <w:bCs/>
          <w:sz w:val="22"/>
          <w:szCs w:val="22"/>
        </w:rPr>
      </w:pPr>
    </w:p>
    <w:p w14:paraId="5DA57EEE" w14:textId="2A630C49" w:rsidR="006A60C8" w:rsidRDefault="006A60C8" w:rsidP="006A60C8">
      <w:pPr>
        <w:pStyle w:val="DataField11p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line="240" w:lineRule="auto"/>
        <w:ind w:right="360"/>
        <w:rPr>
          <w:b/>
          <w:bCs/>
          <w:szCs w:val="22"/>
        </w:rPr>
      </w:pPr>
      <w:r w:rsidRPr="006A60C8">
        <w:rPr>
          <w:b/>
          <w:bCs/>
          <w:szCs w:val="22"/>
        </w:rPr>
        <w:t>Genetically Engineered Mouse Models (GEMM) Core</w:t>
      </w:r>
    </w:p>
    <w:p w14:paraId="34DB03D1" w14:textId="77777777" w:rsidR="00721971" w:rsidRDefault="00721971" w:rsidP="006A60C8">
      <w:pPr>
        <w:pStyle w:val="DataField11p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line="240" w:lineRule="auto"/>
        <w:ind w:right="360"/>
        <w:rPr>
          <w:b/>
          <w:bCs/>
          <w:szCs w:val="22"/>
        </w:rPr>
      </w:pPr>
    </w:p>
    <w:p w14:paraId="5D4B2981" w14:textId="77777777" w:rsidR="00721971" w:rsidRDefault="00721971" w:rsidP="00721971">
      <w:pPr>
        <w:rPr>
          <w:rFonts w:ascii="Arial" w:eastAsia="Arial" w:hAnsi="Arial" w:cs="Arial"/>
          <w:color w:val="000000" w:themeColor="text1"/>
          <w:sz w:val="22"/>
          <w:szCs w:val="22"/>
        </w:rPr>
      </w:pPr>
      <w:r w:rsidRPr="00830FAD">
        <w:rPr>
          <w:rFonts w:ascii="Arial" w:eastAsia="Arial" w:hAnsi="Arial" w:cs="Arial"/>
          <w:color w:val="000000" w:themeColor="text1"/>
          <w:sz w:val="22"/>
          <w:szCs w:val="22"/>
        </w:rPr>
        <w:t>The Genetically Engineered Mouse Models (GEMM) Core is a state-of-the art facility at CMRI created to support the design, generation, and analysis of novel genetically modified mouse strains.  Dr. Jay Vivian</w:t>
      </w:r>
      <w:r>
        <w:rPr>
          <w:rFonts w:ascii="Arial" w:eastAsia="Arial" w:hAnsi="Arial" w:cs="Arial"/>
          <w:color w:val="000000" w:themeColor="text1"/>
          <w:sz w:val="22"/>
          <w:szCs w:val="22"/>
        </w:rPr>
        <w:t xml:space="preserve"> serves as the</w:t>
      </w:r>
      <w:r w:rsidRPr="00830FAD">
        <w:rPr>
          <w:rFonts w:ascii="Arial" w:eastAsia="Arial" w:hAnsi="Arial" w:cs="Arial"/>
          <w:color w:val="000000" w:themeColor="text1"/>
          <w:sz w:val="22"/>
          <w:szCs w:val="22"/>
        </w:rPr>
        <w:t xml:space="preserve"> Scientific Director</w:t>
      </w:r>
      <w:r>
        <w:rPr>
          <w:rFonts w:ascii="Arial" w:eastAsia="Arial" w:hAnsi="Arial" w:cs="Arial"/>
          <w:color w:val="000000" w:themeColor="text1"/>
          <w:sz w:val="22"/>
          <w:szCs w:val="22"/>
        </w:rPr>
        <w:t xml:space="preserve"> and </w:t>
      </w:r>
      <w:r w:rsidRPr="00830FAD">
        <w:rPr>
          <w:rFonts w:ascii="Arial" w:eastAsia="Arial" w:hAnsi="Arial" w:cs="Arial"/>
          <w:color w:val="000000" w:themeColor="text1"/>
          <w:sz w:val="22"/>
          <w:szCs w:val="22"/>
        </w:rPr>
        <w:t>Dr. Laramie Pence</w:t>
      </w:r>
      <w:r>
        <w:rPr>
          <w:rFonts w:ascii="Arial" w:eastAsia="Arial" w:hAnsi="Arial" w:cs="Arial"/>
          <w:color w:val="000000" w:themeColor="text1"/>
          <w:sz w:val="22"/>
          <w:szCs w:val="22"/>
        </w:rPr>
        <w:t xml:space="preserve"> serves as the </w:t>
      </w:r>
      <w:r w:rsidRPr="00830FAD">
        <w:rPr>
          <w:rFonts w:ascii="Arial" w:eastAsia="Arial" w:hAnsi="Arial" w:cs="Arial"/>
          <w:color w:val="000000" w:themeColor="text1"/>
          <w:sz w:val="22"/>
          <w:szCs w:val="22"/>
        </w:rPr>
        <w:t>Technical Director.</w:t>
      </w:r>
      <w:r>
        <w:rPr>
          <w:rFonts w:ascii="Arial" w:eastAsia="Arial" w:hAnsi="Arial" w:cs="Arial"/>
          <w:color w:val="000000" w:themeColor="text1"/>
          <w:sz w:val="22"/>
          <w:szCs w:val="22"/>
        </w:rPr>
        <w:t xml:space="preserve"> The GEMM core is the CMH site component of the University of Kansas Cancer Center’s Transgenic and Gene Targeting Shared Resource (TGTSR), in a novel cross-Consortium Shared Resource program.</w:t>
      </w:r>
      <w:r w:rsidRPr="00830FAD">
        <w:rPr>
          <w:rFonts w:ascii="Arial" w:eastAsia="Arial" w:hAnsi="Arial" w:cs="Arial"/>
          <w:color w:val="000000" w:themeColor="text1"/>
          <w:sz w:val="22"/>
          <w:szCs w:val="22"/>
        </w:rPr>
        <w:t xml:space="preserve">  </w:t>
      </w:r>
    </w:p>
    <w:p w14:paraId="27842D08" w14:textId="77777777" w:rsidR="00721971" w:rsidRDefault="00721971" w:rsidP="00721971">
      <w:pPr>
        <w:rPr>
          <w:rFonts w:ascii="Arial" w:eastAsia="Arial" w:hAnsi="Arial" w:cs="Arial"/>
          <w:color w:val="000000" w:themeColor="text1"/>
          <w:sz w:val="22"/>
          <w:szCs w:val="22"/>
        </w:rPr>
      </w:pPr>
    </w:p>
    <w:p w14:paraId="14C0465A" w14:textId="77777777" w:rsidR="00721971" w:rsidRPr="00830FAD" w:rsidRDefault="00721971" w:rsidP="00721971">
      <w:pPr>
        <w:rPr>
          <w:rFonts w:ascii="Arial" w:hAnsi="Arial" w:cs="Arial"/>
          <w:sz w:val="22"/>
          <w:szCs w:val="22"/>
        </w:rPr>
      </w:pPr>
      <w:r>
        <w:rPr>
          <w:rFonts w:ascii="Arial" w:eastAsia="Arial" w:hAnsi="Arial" w:cs="Arial"/>
          <w:color w:val="000000" w:themeColor="text1"/>
          <w:sz w:val="22"/>
          <w:szCs w:val="22"/>
        </w:rPr>
        <w:t>T</w:t>
      </w:r>
      <w:r w:rsidRPr="00830FAD">
        <w:rPr>
          <w:rFonts w:ascii="Arial" w:eastAsia="Arial" w:hAnsi="Arial" w:cs="Arial"/>
          <w:color w:val="000000" w:themeColor="text1"/>
          <w:sz w:val="22"/>
          <w:szCs w:val="22"/>
        </w:rPr>
        <w:t xml:space="preserve">he Core staff have comprehensive expertise in molecular biology and methods for genetic manipulation of the mouse genome, and the facility is outfitted with the necessary equipment to employ advanced technologies. </w:t>
      </w:r>
      <w:r w:rsidRPr="00830FAD">
        <w:rPr>
          <w:rStyle w:val="normaltextrun"/>
          <w:rFonts w:ascii="Arial" w:hAnsi="Arial" w:cs="Arial"/>
          <w:sz w:val="22"/>
          <w:szCs w:val="22"/>
        </w:rPr>
        <w:t xml:space="preserve">The staff </w:t>
      </w:r>
      <w:r>
        <w:rPr>
          <w:rStyle w:val="normaltextrun"/>
          <w:rFonts w:ascii="Arial" w:hAnsi="Arial" w:cs="Arial"/>
          <w:sz w:val="22"/>
          <w:szCs w:val="22"/>
        </w:rPr>
        <w:t>provide comprehensive support for the</w:t>
      </w:r>
      <w:r w:rsidRPr="00830FAD">
        <w:rPr>
          <w:rStyle w:val="normaltextrun"/>
          <w:rFonts w:ascii="Arial" w:hAnsi="Arial" w:cs="Arial"/>
          <w:sz w:val="22"/>
          <w:szCs w:val="22"/>
        </w:rPr>
        <w:t xml:space="preserve"> design of novel </w:t>
      </w:r>
      <w:r>
        <w:rPr>
          <w:rStyle w:val="normaltextrun"/>
          <w:rFonts w:ascii="Arial" w:hAnsi="Arial" w:cs="Arial"/>
          <w:sz w:val="22"/>
          <w:szCs w:val="22"/>
        </w:rPr>
        <w:t xml:space="preserve">engineered </w:t>
      </w:r>
      <w:r w:rsidRPr="00830FAD">
        <w:rPr>
          <w:rStyle w:val="normaltextrun"/>
          <w:rFonts w:ascii="Arial" w:hAnsi="Arial" w:cs="Arial"/>
          <w:sz w:val="22"/>
          <w:szCs w:val="22"/>
        </w:rPr>
        <w:t xml:space="preserve">mouse models and performs the necessary </w:t>
      </w:r>
      <w:r>
        <w:rPr>
          <w:rStyle w:val="normaltextrun"/>
          <w:rFonts w:ascii="Arial" w:hAnsi="Arial" w:cs="Arial"/>
          <w:sz w:val="22"/>
          <w:szCs w:val="22"/>
        </w:rPr>
        <w:t>services</w:t>
      </w:r>
      <w:r w:rsidRPr="00830FAD">
        <w:rPr>
          <w:rStyle w:val="normaltextrun"/>
          <w:rFonts w:ascii="Arial" w:hAnsi="Arial" w:cs="Arial"/>
          <w:sz w:val="22"/>
          <w:szCs w:val="22"/>
        </w:rPr>
        <w:t xml:space="preserve"> for </w:t>
      </w:r>
      <w:r>
        <w:rPr>
          <w:rStyle w:val="normaltextrun"/>
          <w:rFonts w:ascii="Arial" w:hAnsi="Arial" w:cs="Arial"/>
          <w:sz w:val="22"/>
          <w:szCs w:val="22"/>
        </w:rPr>
        <w:t xml:space="preserve">CRISPR </w:t>
      </w:r>
      <w:r w:rsidRPr="00830FAD">
        <w:rPr>
          <w:rStyle w:val="normaltextrun"/>
          <w:rFonts w:ascii="Arial" w:hAnsi="Arial" w:cs="Arial"/>
          <w:sz w:val="22"/>
          <w:szCs w:val="22"/>
        </w:rPr>
        <w:t xml:space="preserve">reagent development and validation, embryo manipulation, animal production and stock maintenance, and analysis of novel mouse models using molecular biology techniques.  </w:t>
      </w:r>
      <w:r w:rsidRPr="00830FAD">
        <w:rPr>
          <w:rFonts w:ascii="Arial" w:eastAsia="Arial" w:hAnsi="Arial" w:cs="Arial"/>
          <w:color w:val="000000" w:themeColor="text1"/>
          <w:sz w:val="22"/>
          <w:szCs w:val="22"/>
        </w:rPr>
        <w:t xml:space="preserve">Animals produced and maintained by the GEMM Core </w:t>
      </w:r>
      <w:r>
        <w:rPr>
          <w:rFonts w:ascii="Arial" w:eastAsia="Arial" w:hAnsi="Arial" w:cs="Arial"/>
          <w:color w:val="000000" w:themeColor="text1"/>
          <w:sz w:val="22"/>
          <w:szCs w:val="22"/>
        </w:rPr>
        <w:t>are</w:t>
      </w:r>
      <w:r w:rsidRPr="00830FAD">
        <w:rPr>
          <w:rFonts w:ascii="Arial" w:eastAsia="Arial" w:hAnsi="Arial" w:cs="Arial"/>
          <w:color w:val="000000" w:themeColor="text1"/>
          <w:sz w:val="22"/>
          <w:szCs w:val="22"/>
        </w:rPr>
        <w:t xml:space="preserve"> housed in </w:t>
      </w:r>
      <w:r>
        <w:rPr>
          <w:rFonts w:ascii="Arial" w:eastAsia="Arial" w:hAnsi="Arial" w:cs="Arial"/>
          <w:color w:val="000000" w:themeColor="text1"/>
          <w:sz w:val="22"/>
          <w:szCs w:val="22"/>
        </w:rPr>
        <w:t xml:space="preserve">the </w:t>
      </w:r>
      <w:r w:rsidRPr="00830FAD">
        <w:rPr>
          <w:rFonts w:ascii="Arial" w:eastAsia="Arial" w:hAnsi="Arial" w:cs="Arial"/>
          <w:color w:val="000000" w:themeColor="text1"/>
          <w:sz w:val="22"/>
          <w:szCs w:val="22"/>
        </w:rPr>
        <w:t>CMRI</w:t>
      </w:r>
      <w:r>
        <w:rPr>
          <w:rFonts w:ascii="Arial" w:eastAsia="Arial" w:hAnsi="Arial" w:cs="Arial"/>
          <w:color w:val="000000" w:themeColor="text1"/>
          <w:sz w:val="22"/>
          <w:szCs w:val="22"/>
        </w:rPr>
        <w:t xml:space="preserve"> Animal Resource Center (</w:t>
      </w:r>
      <w:r w:rsidRPr="00830FAD">
        <w:rPr>
          <w:rFonts w:ascii="Arial" w:eastAsia="Arial" w:hAnsi="Arial" w:cs="Arial"/>
          <w:color w:val="000000" w:themeColor="text1"/>
          <w:sz w:val="22"/>
          <w:szCs w:val="22"/>
        </w:rPr>
        <w:t>ARC</w:t>
      </w:r>
      <w:r>
        <w:rPr>
          <w:rFonts w:ascii="Arial" w:eastAsia="Arial" w:hAnsi="Arial" w:cs="Arial"/>
          <w:color w:val="000000" w:themeColor="text1"/>
          <w:sz w:val="22"/>
          <w:szCs w:val="22"/>
        </w:rPr>
        <w:t>)</w:t>
      </w:r>
      <w:r w:rsidRPr="00830FAD">
        <w:rPr>
          <w:rFonts w:ascii="Arial" w:eastAsia="Arial" w:hAnsi="Arial" w:cs="Arial"/>
          <w:color w:val="000000" w:themeColor="text1"/>
          <w:sz w:val="22"/>
          <w:szCs w:val="22"/>
        </w:rPr>
        <w:t xml:space="preserve"> strict barrier facilit</w:t>
      </w:r>
      <w:r>
        <w:rPr>
          <w:rFonts w:ascii="Arial" w:eastAsia="Arial" w:hAnsi="Arial" w:cs="Arial"/>
          <w:color w:val="000000" w:themeColor="text1"/>
          <w:sz w:val="22"/>
          <w:szCs w:val="22"/>
        </w:rPr>
        <w:t>y. A</w:t>
      </w:r>
      <w:r w:rsidRPr="00830FAD">
        <w:rPr>
          <w:rFonts w:ascii="Arial" w:eastAsia="Arial" w:hAnsi="Arial" w:cs="Arial"/>
          <w:color w:val="000000" w:themeColor="text1"/>
          <w:sz w:val="22"/>
          <w:szCs w:val="22"/>
        </w:rPr>
        <w:t xml:space="preserve">ll imported strains </w:t>
      </w:r>
      <w:r>
        <w:rPr>
          <w:rFonts w:ascii="Arial" w:eastAsia="Arial" w:hAnsi="Arial" w:cs="Arial"/>
          <w:color w:val="000000" w:themeColor="text1"/>
          <w:sz w:val="22"/>
          <w:szCs w:val="22"/>
        </w:rPr>
        <w:t xml:space="preserve">not provided by </w:t>
      </w:r>
      <w:r w:rsidRPr="00830FAD">
        <w:rPr>
          <w:rFonts w:ascii="Arial" w:eastAsia="Arial" w:hAnsi="Arial" w:cs="Arial"/>
          <w:color w:val="000000" w:themeColor="text1"/>
          <w:sz w:val="22"/>
          <w:szCs w:val="22"/>
        </w:rPr>
        <w:t xml:space="preserve">approved vendors </w:t>
      </w:r>
      <w:r>
        <w:rPr>
          <w:rFonts w:ascii="Arial" w:eastAsia="Arial" w:hAnsi="Arial" w:cs="Arial"/>
          <w:color w:val="000000" w:themeColor="text1"/>
          <w:sz w:val="22"/>
          <w:szCs w:val="22"/>
        </w:rPr>
        <w:t>are imported via embryo rederivation</w:t>
      </w:r>
      <w:r w:rsidRPr="00830FAD">
        <w:rPr>
          <w:rFonts w:ascii="Arial" w:eastAsia="Arial" w:hAnsi="Arial" w:cs="Arial"/>
          <w:color w:val="000000" w:themeColor="text1"/>
          <w:sz w:val="22"/>
          <w:szCs w:val="22"/>
        </w:rPr>
        <w:t xml:space="preserve"> by GEMM Core staff using strict pathogen-free protocol</w:t>
      </w:r>
      <w:r>
        <w:rPr>
          <w:rFonts w:ascii="Arial" w:eastAsia="Arial" w:hAnsi="Arial" w:cs="Arial"/>
          <w:color w:val="000000" w:themeColor="text1"/>
          <w:sz w:val="22"/>
          <w:szCs w:val="22"/>
        </w:rPr>
        <w:t>s</w:t>
      </w:r>
      <w:r w:rsidRPr="00830FAD">
        <w:rPr>
          <w:rFonts w:ascii="Arial" w:eastAsia="Arial" w:hAnsi="Arial" w:cs="Arial"/>
          <w:color w:val="000000" w:themeColor="text1"/>
          <w:sz w:val="22"/>
          <w:szCs w:val="22"/>
        </w:rPr>
        <w:t xml:space="preserve"> followed by thorough animal health monitoring and pathogen testing.</w:t>
      </w:r>
    </w:p>
    <w:p w14:paraId="2F57B83F" w14:textId="77777777" w:rsidR="00721971" w:rsidRPr="00805CC2" w:rsidRDefault="00721971" w:rsidP="00721971">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rFonts w:eastAsia="Arial"/>
          <w:color w:val="000000" w:themeColor="text1"/>
          <w:sz w:val="22"/>
          <w:szCs w:val="22"/>
        </w:rPr>
      </w:pPr>
    </w:p>
    <w:p w14:paraId="534422A6" w14:textId="77777777" w:rsidR="00721971" w:rsidRPr="00805CC2" w:rsidRDefault="00721971" w:rsidP="00721971">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rFonts w:eastAsia="Arial"/>
          <w:color w:val="000000" w:themeColor="text1"/>
          <w:sz w:val="22"/>
          <w:szCs w:val="22"/>
        </w:rPr>
      </w:pPr>
      <w:r w:rsidRPr="00805CC2">
        <w:rPr>
          <w:rFonts w:eastAsia="Arial"/>
          <w:color w:val="000000" w:themeColor="text1"/>
          <w:sz w:val="22"/>
          <w:szCs w:val="22"/>
        </w:rPr>
        <w:t xml:space="preserve">The GEMM Core laboratory space consists of three rooms in the CMRI building at the Adele Hall campus in Kansas City MO.  The animal work is </w:t>
      </w:r>
      <w:r>
        <w:rPr>
          <w:rFonts w:eastAsia="Arial"/>
          <w:color w:val="000000" w:themeColor="text1"/>
          <w:sz w:val="22"/>
          <w:szCs w:val="22"/>
        </w:rPr>
        <w:t>performed</w:t>
      </w:r>
      <w:r w:rsidRPr="00805CC2">
        <w:rPr>
          <w:rFonts w:eastAsia="Arial"/>
          <w:color w:val="000000" w:themeColor="text1"/>
          <w:sz w:val="22"/>
          <w:szCs w:val="22"/>
        </w:rPr>
        <w:t xml:space="preserve"> inside a </w:t>
      </w:r>
      <w:r>
        <w:rPr>
          <w:rFonts w:eastAsia="Arial"/>
          <w:color w:val="000000" w:themeColor="text1"/>
          <w:sz w:val="22"/>
          <w:szCs w:val="22"/>
        </w:rPr>
        <w:t xml:space="preserve">dedicated procedure </w:t>
      </w:r>
      <w:r w:rsidRPr="00805CC2">
        <w:rPr>
          <w:rFonts w:eastAsia="Arial"/>
          <w:color w:val="000000" w:themeColor="text1"/>
          <w:sz w:val="22"/>
          <w:szCs w:val="22"/>
        </w:rPr>
        <w:t>room located in the barrier space of the ARC vivarium at CMRI.  The GEMM</w:t>
      </w:r>
      <w:r>
        <w:rPr>
          <w:rFonts w:eastAsia="Arial"/>
          <w:color w:val="000000" w:themeColor="text1"/>
          <w:sz w:val="22"/>
          <w:szCs w:val="22"/>
        </w:rPr>
        <w:t xml:space="preserve"> Core</w:t>
      </w:r>
      <w:r w:rsidRPr="00805CC2">
        <w:rPr>
          <w:rFonts w:eastAsia="Arial"/>
          <w:color w:val="000000" w:themeColor="text1"/>
          <w:sz w:val="22"/>
          <w:szCs w:val="22"/>
        </w:rPr>
        <w:t xml:space="preserve"> procedure room (CMRI 6902.38, 136 sq. ft.) is outfitted with advanced instrumentation for embryo manipulation and animal surgeries and maintains a strict </w:t>
      </w:r>
      <w:r>
        <w:rPr>
          <w:rFonts w:eastAsia="Arial"/>
          <w:color w:val="000000" w:themeColor="text1"/>
          <w:sz w:val="22"/>
          <w:szCs w:val="22"/>
        </w:rPr>
        <w:t>Specific Pathogen Free (</w:t>
      </w:r>
      <w:r w:rsidRPr="00805CC2">
        <w:rPr>
          <w:rFonts w:eastAsia="Arial"/>
          <w:color w:val="000000" w:themeColor="text1"/>
          <w:sz w:val="22"/>
          <w:szCs w:val="22"/>
        </w:rPr>
        <w:t>SPF</w:t>
      </w:r>
      <w:r>
        <w:rPr>
          <w:rFonts w:eastAsia="Arial"/>
          <w:color w:val="000000" w:themeColor="text1"/>
          <w:sz w:val="22"/>
          <w:szCs w:val="22"/>
        </w:rPr>
        <w:t>)</w:t>
      </w:r>
      <w:r w:rsidRPr="00805CC2">
        <w:rPr>
          <w:rFonts w:eastAsia="Arial"/>
          <w:color w:val="000000" w:themeColor="text1"/>
          <w:sz w:val="22"/>
          <w:szCs w:val="22"/>
        </w:rPr>
        <w:t xml:space="preserve"> status along with the rest of the ARC.  An animal holding room dedicated to the GEMM</w:t>
      </w:r>
      <w:r>
        <w:rPr>
          <w:rFonts w:eastAsia="Arial"/>
          <w:color w:val="000000" w:themeColor="text1"/>
          <w:sz w:val="22"/>
          <w:szCs w:val="22"/>
        </w:rPr>
        <w:t xml:space="preserve"> Core</w:t>
      </w:r>
      <w:r w:rsidRPr="00805CC2">
        <w:rPr>
          <w:rFonts w:eastAsia="Arial"/>
          <w:color w:val="000000" w:themeColor="text1"/>
          <w:sz w:val="22"/>
          <w:szCs w:val="22"/>
        </w:rPr>
        <w:t xml:space="preserve"> colony (CMRI 6902.39, 220 sq ft, 225 cage capacity) is across the hallway from the GEMM </w:t>
      </w:r>
      <w:r>
        <w:rPr>
          <w:rFonts w:eastAsia="Arial"/>
          <w:color w:val="000000" w:themeColor="text1"/>
          <w:sz w:val="22"/>
          <w:szCs w:val="22"/>
        </w:rPr>
        <w:t xml:space="preserve">Core </w:t>
      </w:r>
      <w:r w:rsidRPr="00805CC2">
        <w:rPr>
          <w:rFonts w:eastAsia="Arial"/>
          <w:color w:val="000000" w:themeColor="text1"/>
          <w:sz w:val="22"/>
          <w:szCs w:val="22"/>
        </w:rPr>
        <w:t xml:space="preserve">procedure room. </w:t>
      </w:r>
    </w:p>
    <w:p w14:paraId="77F22B5E" w14:textId="77777777" w:rsidR="00721971" w:rsidRPr="00805CC2" w:rsidRDefault="00721971" w:rsidP="00721971">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rFonts w:eastAsia="Arial"/>
          <w:color w:val="000000" w:themeColor="text1"/>
          <w:sz w:val="22"/>
          <w:szCs w:val="22"/>
        </w:rPr>
      </w:pPr>
    </w:p>
    <w:p w14:paraId="2076B906" w14:textId="77777777" w:rsidR="00721971" w:rsidRDefault="00721971" w:rsidP="00721971">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00805CC2">
        <w:rPr>
          <w:rFonts w:eastAsia="Arial"/>
          <w:color w:val="000000" w:themeColor="text1"/>
          <w:sz w:val="22"/>
          <w:szCs w:val="22"/>
        </w:rPr>
        <w:t xml:space="preserve">A laboratory space outside of the vivarium (CMRI 7902.22, 627 sq. ft), is a wet lab space shared with the Vivian lab dedicated to the molecular biology work to support novel mouse model production, including CRISPR reagent generation, genotyping, and next generation sequencing library prep. </w:t>
      </w:r>
      <w:r w:rsidRPr="00805CC2">
        <w:rPr>
          <w:sz w:val="22"/>
          <w:szCs w:val="22"/>
        </w:rPr>
        <w:t>Two dedicated hoods are available for cell culture, along with incubators and microscopes.  On this floor is additional shared institute space for common equipment and freezers, as well as multiple conference rooms.  Access to various core facilities, including the Flow Cytometry Facility, Confocal microscopy, Genomics, and Bioinformatics Facilities downstairs.</w:t>
      </w:r>
    </w:p>
    <w:p w14:paraId="05A4E909" w14:textId="77777777" w:rsidR="00721971" w:rsidRDefault="00721971" w:rsidP="00721971">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p>
    <w:p w14:paraId="228CA72F" w14:textId="77777777" w:rsidR="00721971" w:rsidRPr="00EA43A4" w:rsidRDefault="00721971" w:rsidP="00721971">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00EA43A4">
        <w:rPr>
          <w:sz w:val="22"/>
          <w:szCs w:val="22"/>
        </w:rPr>
        <w:t xml:space="preserve">Core service requests and billing are submitted, tracked, and managed using a </w:t>
      </w:r>
      <w:r>
        <w:rPr>
          <w:sz w:val="22"/>
          <w:szCs w:val="22"/>
        </w:rPr>
        <w:t xml:space="preserve">user-friendly, </w:t>
      </w:r>
      <w:r w:rsidRPr="00EA43A4">
        <w:rPr>
          <w:sz w:val="22"/>
          <w:szCs w:val="22"/>
        </w:rPr>
        <w:t>web-based</w:t>
      </w:r>
      <w:r>
        <w:rPr>
          <w:sz w:val="22"/>
          <w:szCs w:val="22"/>
        </w:rPr>
        <w:t xml:space="preserve"> </w:t>
      </w:r>
      <w:r w:rsidRPr="00EA43A4">
        <w:rPr>
          <w:sz w:val="22"/>
          <w:szCs w:val="22"/>
        </w:rPr>
        <w:t xml:space="preserve">Infinity Core Management System.  </w:t>
      </w:r>
    </w:p>
    <w:p w14:paraId="08F6704C" w14:textId="77777777" w:rsidR="00721971" w:rsidRPr="00EA43A4" w:rsidRDefault="00721971" w:rsidP="00721971">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p>
    <w:p w14:paraId="713ECC41" w14:textId="77777777" w:rsidR="00721971" w:rsidRPr="00830FAD" w:rsidRDefault="00721971" w:rsidP="00721971">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i/>
          <w:iCs/>
          <w:sz w:val="22"/>
          <w:szCs w:val="22"/>
        </w:rPr>
      </w:pPr>
      <w:r w:rsidRPr="00830FAD">
        <w:rPr>
          <w:i/>
          <w:iCs/>
          <w:sz w:val="22"/>
          <w:szCs w:val="22"/>
        </w:rPr>
        <w:lastRenderedPageBreak/>
        <w:t xml:space="preserve">GEMM Core Services: </w:t>
      </w:r>
    </w:p>
    <w:p w14:paraId="112EBFBE" w14:textId="77777777" w:rsidR="00721971" w:rsidRPr="00EA43A4" w:rsidRDefault="00721971" w:rsidP="00721971">
      <w:pPr>
        <w:pStyle w:val="FormFieldCaption"/>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00830FAD">
        <w:rPr>
          <w:i/>
          <w:iCs/>
          <w:sz w:val="22"/>
          <w:szCs w:val="22"/>
        </w:rPr>
        <w:t>Genetically Modified Mouse Production</w:t>
      </w:r>
      <w:r>
        <w:rPr>
          <w:sz w:val="22"/>
          <w:szCs w:val="22"/>
        </w:rPr>
        <w:t>.  CRISPR-based germline modification using microinjection and electroporation for novel strain generation.</w:t>
      </w:r>
    </w:p>
    <w:p w14:paraId="497EA5AD" w14:textId="77777777" w:rsidR="00721971" w:rsidRPr="00EA43A4" w:rsidRDefault="00721971" w:rsidP="00721971">
      <w:pPr>
        <w:pStyle w:val="FormFieldCaption"/>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00830FAD">
        <w:rPr>
          <w:i/>
          <w:iCs/>
          <w:sz w:val="22"/>
          <w:szCs w:val="22"/>
        </w:rPr>
        <w:t>Cryopreservation</w:t>
      </w:r>
      <w:r>
        <w:rPr>
          <w:sz w:val="22"/>
          <w:szCs w:val="22"/>
        </w:rPr>
        <w:t>. Sperm and embryo cryopreservation for long term archiving of mouse strains.</w:t>
      </w:r>
    </w:p>
    <w:p w14:paraId="1AA6CCE5" w14:textId="77777777" w:rsidR="00721971" w:rsidRPr="00EA43A4" w:rsidRDefault="00721971" w:rsidP="00721971">
      <w:pPr>
        <w:pStyle w:val="FormFieldCaption"/>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00830FAD">
        <w:rPr>
          <w:i/>
          <w:iCs/>
          <w:sz w:val="22"/>
          <w:szCs w:val="22"/>
        </w:rPr>
        <w:t>Rederivation.</w:t>
      </w:r>
      <w:r>
        <w:rPr>
          <w:sz w:val="22"/>
          <w:szCs w:val="22"/>
        </w:rPr>
        <w:t xml:space="preserve">  In vitro fertilization and embryo transfer for reconstitution of mouse strains and for importation of strains from external sources.</w:t>
      </w:r>
    </w:p>
    <w:p w14:paraId="0C0F2803" w14:textId="77777777" w:rsidR="00721971" w:rsidRPr="00EA43A4" w:rsidRDefault="00721971" w:rsidP="00721971">
      <w:pPr>
        <w:pStyle w:val="FormFieldCaption"/>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00830FAD">
        <w:rPr>
          <w:i/>
          <w:iCs/>
          <w:sz w:val="22"/>
          <w:szCs w:val="22"/>
        </w:rPr>
        <w:t>Colony Management.</w:t>
      </w:r>
      <w:r>
        <w:rPr>
          <w:sz w:val="22"/>
          <w:szCs w:val="22"/>
        </w:rPr>
        <w:t xml:space="preserve">  Assistance in mouse stock development and maintenance, including optimized breeding strategies and rapid stock development and expansion via IVF.</w:t>
      </w:r>
    </w:p>
    <w:p w14:paraId="3C7EC51F" w14:textId="77777777" w:rsidR="00721971" w:rsidRPr="00E56A84" w:rsidRDefault="00721971" w:rsidP="00721971">
      <w:pPr>
        <w:pStyle w:val="FormFieldCaption"/>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00830FAD">
        <w:rPr>
          <w:i/>
          <w:iCs/>
          <w:sz w:val="22"/>
          <w:szCs w:val="22"/>
        </w:rPr>
        <w:t>Genotyping</w:t>
      </w:r>
      <w:r>
        <w:rPr>
          <w:sz w:val="22"/>
          <w:szCs w:val="22"/>
        </w:rPr>
        <w:t xml:space="preserve">.  PCR- and sequencing-based assessment of mutations and transgenes of founders; development of genotyping methods for stock maintenance, including </w:t>
      </w:r>
      <w:proofErr w:type="spellStart"/>
      <w:r>
        <w:rPr>
          <w:sz w:val="22"/>
          <w:szCs w:val="22"/>
        </w:rPr>
        <w:t>Transnetyx</w:t>
      </w:r>
      <w:proofErr w:type="spellEnd"/>
      <w:r>
        <w:rPr>
          <w:sz w:val="22"/>
          <w:szCs w:val="22"/>
        </w:rPr>
        <w:t>-based genotyping.</w:t>
      </w:r>
    </w:p>
    <w:p w14:paraId="665CFB6B" w14:textId="77777777" w:rsidR="00721971" w:rsidRPr="00805CC2" w:rsidRDefault="00721971" w:rsidP="00721971">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p>
    <w:p w14:paraId="18262AD0" w14:textId="77777777" w:rsidR="00721971" w:rsidRPr="00830FAD" w:rsidRDefault="00721971" w:rsidP="00721971">
      <w:pPr>
        <w:rPr>
          <w:rFonts w:ascii="Arial" w:eastAsia="Arial" w:hAnsi="Arial" w:cs="Arial"/>
          <w:i/>
          <w:iCs/>
          <w:color w:val="000000" w:themeColor="text1"/>
          <w:sz w:val="22"/>
          <w:szCs w:val="22"/>
        </w:rPr>
      </w:pPr>
      <w:r w:rsidRPr="00830FAD">
        <w:rPr>
          <w:rFonts w:ascii="Arial" w:eastAsia="Arial" w:hAnsi="Arial" w:cs="Arial"/>
          <w:i/>
          <w:iCs/>
          <w:color w:val="000000" w:themeColor="text1"/>
          <w:sz w:val="22"/>
          <w:szCs w:val="22"/>
        </w:rPr>
        <w:t>GEMM Core Equipment:</w:t>
      </w:r>
    </w:p>
    <w:p w14:paraId="0B453978" w14:textId="77777777" w:rsidR="00721971" w:rsidRPr="00805CC2" w:rsidRDefault="00721971" w:rsidP="00721971">
      <w:pPr>
        <w:pStyle w:val="paragraph"/>
        <w:numPr>
          <w:ilvl w:val="0"/>
          <w:numId w:val="7"/>
        </w:numPr>
        <w:spacing w:before="0" w:beforeAutospacing="0" w:after="0" w:afterAutospacing="0"/>
        <w:textAlignment w:val="baseline"/>
        <w:rPr>
          <w:rStyle w:val="normaltextrun"/>
          <w:rFonts w:ascii="Arial" w:hAnsi="Arial" w:cs="Arial"/>
          <w:i/>
          <w:iCs/>
          <w:sz w:val="22"/>
          <w:szCs w:val="22"/>
        </w:rPr>
      </w:pPr>
      <w:r w:rsidRPr="00805CC2">
        <w:rPr>
          <w:rStyle w:val="normaltextrun"/>
          <w:rFonts w:ascii="Arial" w:hAnsi="Arial" w:cs="Arial"/>
          <w:sz w:val="22"/>
          <w:szCs w:val="22"/>
        </w:rPr>
        <w:t xml:space="preserve">A </w:t>
      </w:r>
      <w:proofErr w:type="spellStart"/>
      <w:r w:rsidRPr="00805CC2">
        <w:rPr>
          <w:rStyle w:val="normaltextrun"/>
          <w:rFonts w:ascii="Arial" w:hAnsi="Arial" w:cs="Arial"/>
          <w:sz w:val="22"/>
          <w:szCs w:val="22"/>
        </w:rPr>
        <w:t>Nepa</w:t>
      </w:r>
      <w:proofErr w:type="spellEnd"/>
      <w:r w:rsidRPr="00805CC2">
        <w:rPr>
          <w:rStyle w:val="normaltextrun"/>
          <w:rFonts w:ascii="Arial" w:hAnsi="Arial" w:cs="Arial"/>
          <w:sz w:val="22"/>
          <w:szCs w:val="22"/>
        </w:rPr>
        <w:t xml:space="preserve"> Gene embryo electroporator used for </w:t>
      </w:r>
      <w:r>
        <w:rPr>
          <w:rStyle w:val="normaltextrun"/>
          <w:rFonts w:ascii="Arial" w:hAnsi="Arial" w:cs="Arial"/>
          <w:sz w:val="22"/>
          <w:szCs w:val="22"/>
        </w:rPr>
        <w:t xml:space="preserve">introduction of </w:t>
      </w:r>
      <w:r w:rsidRPr="00805CC2">
        <w:rPr>
          <w:rStyle w:val="normaltextrun"/>
          <w:rFonts w:ascii="Arial" w:hAnsi="Arial" w:cs="Arial"/>
          <w:sz w:val="22"/>
          <w:szCs w:val="22"/>
        </w:rPr>
        <w:t xml:space="preserve">CRISPR </w:t>
      </w:r>
      <w:r>
        <w:rPr>
          <w:rStyle w:val="normaltextrun"/>
          <w:rFonts w:ascii="Arial" w:hAnsi="Arial" w:cs="Arial"/>
          <w:sz w:val="22"/>
          <w:szCs w:val="22"/>
        </w:rPr>
        <w:t>reagents for assessment of activity and for production of novel mouse models</w:t>
      </w:r>
      <w:r w:rsidRPr="00805CC2">
        <w:rPr>
          <w:rStyle w:val="normaltextrun"/>
          <w:rFonts w:ascii="Arial" w:hAnsi="Arial" w:cs="Arial"/>
          <w:sz w:val="22"/>
          <w:szCs w:val="22"/>
        </w:rPr>
        <w:t>.</w:t>
      </w:r>
    </w:p>
    <w:p w14:paraId="79BA6424" w14:textId="77777777" w:rsidR="00721971" w:rsidRPr="00805CC2" w:rsidRDefault="00721971" w:rsidP="00721971">
      <w:pPr>
        <w:pStyle w:val="paragraph"/>
        <w:numPr>
          <w:ilvl w:val="0"/>
          <w:numId w:val="7"/>
        </w:numPr>
        <w:spacing w:before="0" w:beforeAutospacing="0" w:after="0" w:afterAutospacing="0"/>
        <w:textAlignment w:val="baseline"/>
        <w:rPr>
          <w:rStyle w:val="normaltextrun"/>
          <w:rFonts w:ascii="Arial" w:hAnsi="Arial" w:cs="Arial"/>
          <w:i/>
          <w:iCs/>
          <w:sz w:val="22"/>
          <w:szCs w:val="22"/>
        </w:rPr>
      </w:pPr>
      <w:r w:rsidRPr="00805CC2">
        <w:rPr>
          <w:rStyle w:val="normaltextrun"/>
          <w:rFonts w:ascii="Arial" w:hAnsi="Arial" w:cs="Arial"/>
          <w:sz w:val="22"/>
          <w:szCs w:val="22"/>
        </w:rPr>
        <w:t>A Cook Medical MINC benchtop embryo incubator.</w:t>
      </w:r>
    </w:p>
    <w:p w14:paraId="7EA0B814" w14:textId="77777777" w:rsidR="00721971" w:rsidRPr="00805CC2" w:rsidRDefault="00721971" w:rsidP="00721971">
      <w:pPr>
        <w:pStyle w:val="paragraph"/>
        <w:numPr>
          <w:ilvl w:val="0"/>
          <w:numId w:val="7"/>
        </w:numPr>
        <w:spacing w:before="0" w:beforeAutospacing="0" w:after="0" w:afterAutospacing="0"/>
        <w:textAlignment w:val="baseline"/>
        <w:rPr>
          <w:rStyle w:val="normaltextrun"/>
          <w:rFonts w:ascii="Arial" w:hAnsi="Arial" w:cs="Arial"/>
          <w:i/>
          <w:iCs/>
          <w:sz w:val="22"/>
          <w:szCs w:val="22"/>
        </w:rPr>
      </w:pPr>
      <w:r w:rsidRPr="00805CC2">
        <w:rPr>
          <w:rStyle w:val="normaltextrun"/>
          <w:rFonts w:ascii="Arial" w:hAnsi="Arial" w:cs="Arial"/>
          <w:sz w:val="22"/>
          <w:szCs w:val="22"/>
        </w:rPr>
        <w:t xml:space="preserve">An animal surgery station that is housed inside a biosafety cabinet and includes a Leica M60 stereoscope and a Kent Scientific </w:t>
      </w:r>
      <w:proofErr w:type="spellStart"/>
      <w:r w:rsidRPr="00805CC2">
        <w:rPr>
          <w:rStyle w:val="normaltextrun"/>
          <w:rFonts w:ascii="Arial" w:hAnsi="Arial" w:cs="Arial"/>
          <w:sz w:val="22"/>
          <w:szCs w:val="22"/>
        </w:rPr>
        <w:t>Somnosuite</w:t>
      </w:r>
      <w:proofErr w:type="spellEnd"/>
      <w:r w:rsidRPr="00805CC2">
        <w:rPr>
          <w:rStyle w:val="normaltextrun"/>
          <w:rFonts w:ascii="Arial" w:hAnsi="Arial" w:cs="Arial"/>
          <w:sz w:val="22"/>
          <w:szCs w:val="22"/>
        </w:rPr>
        <w:t xml:space="preserve"> used for isoflurane anesthesia.</w:t>
      </w:r>
    </w:p>
    <w:p w14:paraId="76C2D2F8" w14:textId="77777777" w:rsidR="00721971" w:rsidRPr="00805CC2" w:rsidRDefault="00721971" w:rsidP="00721971">
      <w:pPr>
        <w:pStyle w:val="paragraph"/>
        <w:numPr>
          <w:ilvl w:val="0"/>
          <w:numId w:val="7"/>
        </w:numPr>
        <w:spacing w:before="0" w:beforeAutospacing="0" w:after="0" w:afterAutospacing="0"/>
        <w:textAlignment w:val="baseline"/>
        <w:rPr>
          <w:rStyle w:val="normaltextrun"/>
          <w:rFonts w:ascii="Arial" w:hAnsi="Arial" w:cs="Arial"/>
          <w:sz w:val="22"/>
          <w:szCs w:val="22"/>
        </w:rPr>
      </w:pPr>
      <w:r w:rsidRPr="00805CC2">
        <w:rPr>
          <w:rStyle w:val="normaltextrun"/>
          <w:rFonts w:ascii="Arial" w:hAnsi="Arial" w:cs="Arial"/>
          <w:sz w:val="22"/>
          <w:szCs w:val="22"/>
        </w:rPr>
        <w:t xml:space="preserve">A microinjection station that includes a Leica DMi8 inverted microscope equipped with DIC and phase contrast imaging, </w:t>
      </w:r>
      <w:proofErr w:type="spellStart"/>
      <w:r w:rsidRPr="00805CC2">
        <w:rPr>
          <w:rStyle w:val="normaltextrun"/>
          <w:rFonts w:ascii="Arial" w:hAnsi="Arial" w:cs="Arial"/>
          <w:sz w:val="22"/>
          <w:szCs w:val="22"/>
        </w:rPr>
        <w:t>Narshige</w:t>
      </w:r>
      <w:proofErr w:type="spellEnd"/>
      <w:r w:rsidRPr="00805CC2">
        <w:rPr>
          <w:rStyle w:val="normaltextrun"/>
          <w:rFonts w:ascii="Arial" w:hAnsi="Arial" w:cs="Arial"/>
          <w:sz w:val="22"/>
          <w:szCs w:val="22"/>
        </w:rPr>
        <w:t xml:space="preserve"> micromanipulators and pneumatic microinjector, a </w:t>
      </w:r>
      <w:proofErr w:type="spellStart"/>
      <w:r w:rsidRPr="00805CC2">
        <w:rPr>
          <w:rStyle w:val="normaltextrun"/>
          <w:rFonts w:ascii="Arial" w:hAnsi="Arial" w:cs="Arial"/>
          <w:sz w:val="22"/>
          <w:szCs w:val="22"/>
        </w:rPr>
        <w:t>XYClone</w:t>
      </w:r>
      <w:proofErr w:type="spellEnd"/>
      <w:r w:rsidRPr="00805CC2">
        <w:rPr>
          <w:rStyle w:val="normaltextrun"/>
          <w:rFonts w:ascii="Arial" w:hAnsi="Arial" w:cs="Arial"/>
          <w:sz w:val="22"/>
          <w:szCs w:val="22"/>
        </w:rPr>
        <w:t xml:space="preserve"> laser objective for zona cutting, and an Eppendorf </w:t>
      </w:r>
      <w:proofErr w:type="spellStart"/>
      <w:r w:rsidRPr="00805CC2">
        <w:rPr>
          <w:rStyle w:val="normaltextrun"/>
          <w:rFonts w:ascii="Arial" w:hAnsi="Arial" w:cs="Arial"/>
          <w:sz w:val="22"/>
          <w:szCs w:val="22"/>
        </w:rPr>
        <w:t>FemtoJet</w:t>
      </w:r>
      <w:proofErr w:type="spellEnd"/>
      <w:r w:rsidRPr="00805CC2">
        <w:rPr>
          <w:rStyle w:val="normaltextrun"/>
          <w:rFonts w:ascii="Arial" w:hAnsi="Arial" w:cs="Arial"/>
          <w:sz w:val="22"/>
          <w:szCs w:val="22"/>
        </w:rPr>
        <w:t>, all set on a KSI anti-vibration table.</w:t>
      </w:r>
    </w:p>
    <w:p w14:paraId="2B24701A" w14:textId="77777777" w:rsidR="00721971" w:rsidRPr="00805CC2" w:rsidRDefault="00721971" w:rsidP="00721971">
      <w:pPr>
        <w:pStyle w:val="paragraph"/>
        <w:numPr>
          <w:ilvl w:val="0"/>
          <w:numId w:val="7"/>
        </w:numPr>
        <w:spacing w:before="0" w:beforeAutospacing="0" w:after="0" w:afterAutospacing="0"/>
        <w:textAlignment w:val="baseline"/>
        <w:rPr>
          <w:rStyle w:val="normaltextrun"/>
          <w:rFonts w:ascii="Arial" w:hAnsi="Arial" w:cs="Arial"/>
          <w:i/>
          <w:iCs/>
          <w:sz w:val="22"/>
          <w:szCs w:val="22"/>
        </w:rPr>
      </w:pPr>
      <w:r w:rsidRPr="00805CC2">
        <w:rPr>
          <w:rStyle w:val="normaltextrun"/>
          <w:rFonts w:ascii="Arial" w:hAnsi="Arial" w:cs="Arial"/>
          <w:sz w:val="22"/>
          <w:szCs w:val="22"/>
        </w:rPr>
        <w:t>A</w:t>
      </w:r>
      <w:r w:rsidRPr="00805CC2">
        <w:rPr>
          <w:rStyle w:val="normaltextrun"/>
          <w:rFonts w:ascii="Arial" w:hAnsi="Arial" w:cs="Arial"/>
          <w:i/>
          <w:iCs/>
          <w:sz w:val="22"/>
          <w:szCs w:val="22"/>
        </w:rPr>
        <w:t xml:space="preserve"> </w:t>
      </w:r>
      <w:proofErr w:type="spellStart"/>
      <w:r w:rsidRPr="00805CC2">
        <w:rPr>
          <w:rStyle w:val="normaltextrun"/>
          <w:rFonts w:ascii="Arial" w:hAnsi="Arial" w:cs="Arial"/>
          <w:sz w:val="22"/>
          <w:szCs w:val="22"/>
        </w:rPr>
        <w:t>Narshige</w:t>
      </w:r>
      <w:proofErr w:type="spellEnd"/>
      <w:r w:rsidRPr="00805CC2">
        <w:rPr>
          <w:rStyle w:val="normaltextrun"/>
          <w:rFonts w:ascii="Arial" w:hAnsi="Arial" w:cs="Arial"/>
          <w:sz w:val="22"/>
          <w:szCs w:val="22"/>
        </w:rPr>
        <w:t xml:space="preserve"> </w:t>
      </w:r>
      <w:proofErr w:type="spellStart"/>
      <w:r w:rsidRPr="00805CC2">
        <w:rPr>
          <w:rStyle w:val="normaltextrun"/>
          <w:rFonts w:ascii="Arial" w:hAnsi="Arial" w:cs="Arial"/>
          <w:sz w:val="22"/>
          <w:szCs w:val="22"/>
        </w:rPr>
        <w:t>microforge</w:t>
      </w:r>
      <w:proofErr w:type="spellEnd"/>
      <w:r w:rsidRPr="00805CC2">
        <w:rPr>
          <w:rStyle w:val="normaltextrun"/>
          <w:rFonts w:ascii="Arial" w:hAnsi="Arial" w:cs="Arial"/>
          <w:sz w:val="22"/>
          <w:szCs w:val="22"/>
        </w:rPr>
        <w:t xml:space="preserve"> and a Sutter micropipette puller for making both holding and injection pipettes.</w:t>
      </w:r>
    </w:p>
    <w:p w14:paraId="2FED609A" w14:textId="77777777" w:rsidR="00721971" w:rsidRPr="00805CC2" w:rsidRDefault="00721971" w:rsidP="00721971">
      <w:pPr>
        <w:pStyle w:val="paragraph"/>
        <w:numPr>
          <w:ilvl w:val="0"/>
          <w:numId w:val="7"/>
        </w:numPr>
        <w:spacing w:before="0" w:beforeAutospacing="0" w:after="0" w:afterAutospacing="0"/>
        <w:textAlignment w:val="baseline"/>
        <w:rPr>
          <w:rStyle w:val="normaltextrun"/>
          <w:rFonts w:ascii="Arial" w:hAnsi="Arial" w:cs="Arial"/>
          <w:i/>
          <w:iCs/>
          <w:sz w:val="22"/>
          <w:szCs w:val="22"/>
        </w:rPr>
      </w:pPr>
      <w:r w:rsidRPr="00805CC2">
        <w:rPr>
          <w:rStyle w:val="normaltextrun"/>
          <w:rFonts w:ascii="Arial" w:hAnsi="Arial" w:cs="Arial"/>
          <w:sz w:val="22"/>
          <w:szCs w:val="22"/>
        </w:rPr>
        <w:t xml:space="preserve">A Bio-cool control rate freezer for embryo cryopreservation, a </w:t>
      </w:r>
      <w:proofErr w:type="spellStart"/>
      <w:r w:rsidRPr="00805CC2">
        <w:rPr>
          <w:rStyle w:val="normaltextrun"/>
          <w:rFonts w:ascii="Arial" w:hAnsi="Arial" w:cs="Arial"/>
          <w:sz w:val="22"/>
          <w:szCs w:val="22"/>
        </w:rPr>
        <w:t>Minitube</w:t>
      </w:r>
      <w:proofErr w:type="spellEnd"/>
      <w:r w:rsidRPr="00805CC2">
        <w:rPr>
          <w:rStyle w:val="normaltextrun"/>
          <w:rFonts w:ascii="Arial" w:hAnsi="Arial" w:cs="Arial"/>
          <w:sz w:val="22"/>
          <w:szCs w:val="22"/>
        </w:rPr>
        <w:t xml:space="preserve"> </w:t>
      </w:r>
      <w:proofErr w:type="spellStart"/>
      <w:r w:rsidRPr="00805CC2">
        <w:rPr>
          <w:rStyle w:val="normaltextrun"/>
          <w:rFonts w:ascii="Arial" w:hAnsi="Arial" w:cs="Arial"/>
          <w:sz w:val="22"/>
          <w:szCs w:val="22"/>
        </w:rPr>
        <w:t>Multiprinter</w:t>
      </w:r>
      <w:proofErr w:type="spellEnd"/>
      <w:r w:rsidRPr="00805CC2">
        <w:rPr>
          <w:rStyle w:val="normaltextrun"/>
          <w:rFonts w:ascii="Arial" w:hAnsi="Arial" w:cs="Arial"/>
          <w:sz w:val="22"/>
          <w:szCs w:val="22"/>
        </w:rPr>
        <w:t xml:space="preserve"> for cryopreserved straw barcode labeling, and access to CMRI’s Biorepository (CRIB) for long term sample storage.</w:t>
      </w:r>
    </w:p>
    <w:p w14:paraId="409FAE8A" w14:textId="77777777" w:rsidR="00721971" w:rsidRPr="00805CC2" w:rsidRDefault="00721971" w:rsidP="00721971">
      <w:pPr>
        <w:pStyle w:val="paragraph"/>
        <w:numPr>
          <w:ilvl w:val="0"/>
          <w:numId w:val="7"/>
        </w:numPr>
        <w:spacing w:before="0" w:beforeAutospacing="0" w:after="0" w:afterAutospacing="0"/>
        <w:textAlignment w:val="baseline"/>
        <w:rPr>
          <w:rStyle w:val="normaltextrun"/>
          <w:rFonts w:ascii="Arial" w:hAnsi="Arial" w:cs="Arial"/>
          <w:i/>
          <w:iCs/>
          <w:sz w:val="22"/>
          <w:szCs w:val="22"/>
        </w:rPr>
      </w:pPr>
      <w:r w:rsidRPr="00805CC2">
        <w:rPr>
          <w:rStyle w:val="normaltextrun"/>
          <w:rFonts w:ascii="Arial" w:hAnsi="Arial" w:cs="Arial"/>
          <w:sz w:val="22"/>
          <w:szCs w:val="22"/>
        </w:rPr>
        <w:t xml:space="preserve">Molecular biology equipment including an Eppendorf thermocycler, gel electrophoresis stations, an Agilent </w:t>
      </w:r>
      <w:proofErr w:type="spellStart"/>
      <w:r w:rsidRPr="00805CC2">
        <w:rPr>
          <w:rStyle w:val="normaltextrun"/>
          <w:rFonts w:ascii="Arial" w:hAnsi="Arial" w:cs="Arial"/>
          <w:sz w:val="22"/>
          <w:szCs w:val="22"/>
        </w:rPr>
        <w:t>Tapestation</w:t>
      </w:r>
      <w:proofErr w:type="spellEnd"/>
      <w:r w:rsidRPr="00805CC2">
        <w:rPr>
          <w:rStyle w:val="normaltextrun"/>
          <w:rFonts w:ascii="Arial" w:hAnsi="Arial" w:cs="Arial"/>
          <w:sz w:val="22"/>
          <w:szCs w:val="22"/>
        </w:rPr>
        <w:t xml:space="preserve">, and a </w:t>
      </w:r>
      <w:proofErr w:type="spellStart"/>
      <w:r w:rsidRPr="00805CC2">
        <w:rPr>
          <w:rStyle w:val="normaltextrun"/>
          <w:rFonts w:ascii="Arial" w:hAnsi="Arial" w:cs="Arial"/>
          <w:sz w:val="22"/>
          <w:szCs w:val="22"/>
        </w:rPr>
        <w:t>Biotek</w:t>
      </w:r>
      <w:proofErr w:type="spellEnd"/>
      <w:r w:rsidRPr="00805CC2">
        <w:rPr>
          <w:rStyle w:val="normaltextrun"/>
          <w:rFonts w:ascii="Arial" w:hAnsi="Arial" w:cs="Arial"/>
          <w:sz w:val="22"/>
          <w:szCs w:val="22"/>
        </w:rPr>
        <w:t xml:space="preserve"> Synergy LX spectrophotometer/fluorometer.</w:t>
      </w:r>
    </w:p>
    <w:p w14:paraId="48F7BF9F" w14:textId="77777777" w:rsidR="00721971" w:rsidRPr="00805CC2" w:rsidRDefault="00721971" w:rsidP="00721971">
      <w:pPr>
        <w:pStyle w:val="paragraph"/>
        <w:numPr>
          <w:ilvl w:val="0"/>
          <w:numId w:val="7"/>
        </w:numPr>
        <w:spacing w:before="0" w:beforeAutospacing="0" w:after="0" w:afterAutospacing="0"/>
        <w:textAlignment w:val="baseline"/>
        <w:rPr>
          <w:rStyle w:val="normaltextrun"/>
          <w:rFonts w:ascii="Arial" w:hAnsi="Arial" w:cs="Arial"/>
          <w:i/>
          <w:iCs/>
          <w:sz w:val="22"/>
          <w:szCs w:val="22"/>
        </w:rPr>
      </w:pPr>
      <w:r w:rsidRPr="00805CC2">
        <w:rPr>
          <w:rStyle w:val="normaltextrun"/>
          <w:rFonts w:ascii="Arial" w:hAnsi="Arial" w:cs="Arial"/>
          <w:sz w:val="22"/>
          <w:szCs w:val="22"/>
        </w:rPr>
        <w:t xml:space="preserve">Access to a cell culture station which includes two biosafety cabinets dedicated to cell culture work, and access to four </w:t>
      </w:r>
      <w:proofErr w:type="spellStart"/>
      <w:r w:rsidRPr="00805CC2">
        <w:rPr>
          <w:rStyle w:val="normaltextrun"/>
          <w:rFonts w:ascii="Arial" w:hAnsi="Arial" w:cs="Arial"/>
          <w:sz w:val="22"/>
          <w:szCs w:val="22"/>
        </w:rPr>
        <w:t>Thermo</w:t>
      </w:r>
      <w:proofErr w:type="spellEnd"/>
      <w:r w:rsidRPr="00805CC2">
        <w:rPr>
          <w:rStyle w:val="normaltextrun"/>
          <w:rFonts w:ascii="Arial" w:hAnsi="Arial" w:cs="Arial"/>
          <w:sz w:val="22"/>
          <w:szCs w:val="22"/>
        </w:rPr>
        <w:t xml:space="preserve"> Scientific </w:t>
      </w:r>
      <w:proofErr w:type="spellStart"/>
      <w:r w:rsidRPr="00805CC2">
        <w:rPr>
          <w:rStyle w:val="normaltextrun"/>
          <w:rFonts w:ascii="Arial" w:hAnsi="Arial" w:cs="Arial"/>
          <w:sz w:val="22"/>
          <w:szCs w:val="22"/>
        </w:rPr>
        <w:t>HERAcell</w:t>
      </w:r>
      <w:proofErr w:type="spellEnd"/>
      <w:r w:rsidRPr="00805CC2">
        <w:rPr>
          <w:rStyle w:val="normaltextrun"/>
          <w:rFonts w:ascii="Arial" w:hAnsi="Arial" w:cs="Arial"/>
          <w:sz w:val="22"/>
          <w:szCs w:val="22"/>
        </w:rPr>
        <w:t xml:space="preserve"> VIOS 160i CO2 incubators. </w:t>
      </w:r>
    </w:p>
    <w:p w14:paraId="637F0848" w14:textId="77777777" w:rsidR="00721971" w:rsidRPr="00805CC2" w:rsidRDefault="00721971" w:rsidP="00721971">
      <w:pPr>
        <w:pStyle w:val="paragraph"/>
        <w:numPr>
          <w:ilvl w:val="0"/>
          <w:numId w:val="7"/>
        </w:numPr>
        <w:spacing w:before="0" w:beforeAutospacing="0" w:after="0" w:afterAutospacing="0"/>
        <w:textAlignment w:val="baseline"/>
        <w:rPr>
          <w:rStyle w:val="normaltextrun"/>
          <w:rFonts w:ascii="Arial" w:hAnsi="Arial" w:cs="Arial"/>
          <w:sz w:val="22"/>
          <w:szCs w:val="22"/>
        </w:rPr>
      </w:pPr>
      <w:proofErr w:type="spellStart"/>
      <w:r w:rsidRPr="00805CC2">
        <w:rPr>
          <w:rFonts w:ascii="Arial" w:hAnsi="Arial" w:cs="Arial"/>
          <w:sz w:val="22"/>
          <w:szCs w:val="22"/>
        </w:rPr>
        <w:t>Transnetyx</w:t>
      </w:r>
      <w:proofErr w:type="spellEnd"/>
      <w:r w:rsidRPr="00805CC2">
        <w:rPr>
          <w:rFonts w:ascii="Arial" w:hAnsi="Arial" w:cs="Arial"/>
          <w:sz w:val="22"/>
          <w:szCs w:val="22"/>
        </w:rPr>
        <w:t xml:space="preserve"> kiosk </w:t>
      </w:r>
      <w:proofErr w:type="spellStart"/>
      <w:r w:rsidRPr="00805CC2">
        <w:rPr>
          <w:rFonts w:ascii="Arial" w:hAnsi="Arial" w:cs="Arial"/>
          <w:sz w:val="22"/>
          <w:szCs w:val="22"/>
        </w:rPr>
        <w:t>dropoff</w:t>
      </w:r>
      <w:proofErr w:type="spellEnd"/>
      <w:r w:rsidRPr="00805CC2">
        <w:rPr>
          <w:rFonts w:ascii="Arial" w:hAnsi="Arial" w:cs="Arial"/>
          <w:sz w:val="22"/>
          <w:szCs w:val="22"/>
        </w:rPr>
        <w:t xml:space="preserve"> point for genotyping </w:t>
      </w:r>
    </w:p>
    <w:p w14:paraId="1B6DA3FA" w14:textId="77777777" w:rsidR="00721971" w:rsidRPr="00805CC2" w:rsidRDefault="00721971" w:rsidP="00721971">
      <w:pPr>
        <w:pStyle w:val="paragraph"/>
        <w:spacing w:before="0" w:beforeAutospacing="0" w:after="0" w:afterAutospacing="0"/>
        <w:textAlignment w:val="baseline"/>
        <w:rPr>
          <w:rFonts w:ascii="Arial" w:eastAsiaTheme="minorHAnsi" w:hAnsi="Arial" w:cs="Arial"/>
          <w:i/>
          <w:iCs/>
          <w:sz w:val="22"/>
          <w:szCs w:val="22"/>
        </w:rPr>
      </w:pPr>
    </w:p>
    <w:p w14:paraId="58385DEC" w14:textId="77777777" w:rsidR="00721971" w:rsidRDefault="00721971" w:rsidP="00721971">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r w:rsidRPr="00805CC2">
        <w:rPr>
          <w:i/>
          <w:iCs/>
          <w:sz w:val="22"/>
          <w:szCs w:val="22"/>
        </w:rPr>
        <w:t>Office</w:t>
      </w:r>
      <w:r>
        <w:rPr>
          <w:i/>
          <w:iCs/>
          <w:sz w:val="22"/>
          <w:szCs w:val="22"/>
        </w:rPr>
        <w:t xml:space="preserve"> space</w:t>
      </w:r>
      <w:r w:rsidRPr="00805CC2">
        <w:rPr>
          <w:b/>
          <w:bCs/>
          <w:i/>
          <w:iCs/>
          <w:sz w:val="22"/>
          <w:szCs w:val="22"/>
        </w:rPr>
        <w:t>:</w:t>
      </w:r>
      <w:r w:rsidRPr="00805CC2">
        <w:rPr>
          <w:sz w:val="22"/>
          <w:szCs w:val="22"/>
        </w:rPr>
        <w:t xml:space="preserve"> Dr. Pence has a cubicle (7902.16x01) adjacent to the 7</w:t>
      </w:r>
      <w:r w:rsidRPr="00805CC2">
        <w:rPr>
          <w:sz w:val="22"/>
          <w:szCs w:val="22"/>
          <w:vertAlign w:val="superscript"/>
        </w:rPr>
        <w:t>th</w:t>
      </w:r>
      <w:r w:rsidRPr="00805CC2">
        <w:rPr>
          <w:sz w:val="22"/>
          <w:szCs w:val="22"/>
        </w:rPr>
        <w:t xml:space="preserve"> floor laboratory space.  Dr. Vivian has a 120 sq. ft office (CMRI 7902.20) directly across the hall.  A shared conference room (7902.21) is nearby with videoconferencing capabilities.</w:t>
      </w:r>
    </w:p>
    <w:p w14:paraId="641B06F7" w14:textId="77777777" w:rsidR="00641459" w:rsidRDefault="00641459" w:rsidP="006A60C8">
      <w:pPr>
        <w:pStyle w:val="DataField11p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spacing w:line="240" w:lineRule="auto"/>
        <w:ind w:right="360"/>
        <w:rPr>
          <w:b/>
          <w:bCs/>
          <w:szCs w:val="22"/>
        </w:rPr>
      </w:pPr>
    </w:p>
    <w:p w14:paraId="31EF98F4" w14:textId="77777777" w:rsidR="006E540C" w:rsidRPr="00641459" w:rsidRDefault="006E540C" w:rsidP="00641459">
      <w:pPr>
        <w:pStyle w:val="FormFieldCaption"/>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sz w:val="22"/>
          <w:szCs w:val="22"/>
        </w:rPr>
      </w:pPr>
    </w:p>
    <w:p w14:paraId="541D9BB6" w14:textId="77777777" w:rsidR="00721971" w:rsidRDefault="006E540C" w:rsidP="00326187">
      <w:pPr>
        <w:spacing w:after="120"/>
        <w:rPr>
          <w:rFonts w:ascii="Arial" w:hAnsi="Arial" w:cs="Arial"/>
          <w:sz w:val="22"/>
          <w:szCs w:val="22"/>
        </w:rPr>
      </w:pPr>
      <w:r w:rsidRPr="005010CE">
        <w:rPr>
          <w:rFonts w:ascii="Arial" w:hAnsi="Arial" w:cs="Arial"/>
          <w:b/>
          <w:bCs/>
          <w:sz w:val="22"/>
          <w:szCs w:val="22"/>
          <w:u w:val="single"/>
        </w:rPr>
        <w:t>Division of Neonatology:</w:t>
      </w:r>
      <w:r>
        <w:rPr>
          <w:rFonts w:ascii="Arial" w:hAnsi="Arial" w:cs="Arial"/>
          <w:sz w:val="22"/>
          <w:szCs w:val="22"/>
        </w:rPr>
        <w:t xml:space="preserve">  </w:t>
      </w:r>
    </w:p>
    <w:p w14:paraId="10C6FAB5" w14:textId="6AEAFDF5" w:rsidR="00326187" w:rsidRPr="00326187" w:rsidRDefault="00326187" w:rsidP="00326187">
      <w:pPr>
        <w:spacing w:after="120"/>
        <w:rPr>
          <w:rFonts w:ascii="Arial" w:hAnsi="Arial" w:cs="Arial"/>
          <w:sz w:val="22"/>
          <w:szCs w:val="22"/>
          <w:u w:val="single"/>
        </w:rPr>
      </w:pPr>
      <w:r w:rsidRPr="00326187">
        <w:rPr>
          <w:rFonts w:ascii="Arial" w:hAnsi="Arial" w:cs="Arial"/>
          <w:sz w:val="22"/>
          <w:szCs w:val="22"/>
        </w:rPr>
        <w:t xml:space="preserve">The Neonatal Intensive Care Unit (NICU) at CMKC continues to be the only referral center within the geographical area between St. Louis and Denver to provide Level 4 Regional NICU support. The Children’s Mercy Hospital NICU at Adele Hall provides 84 beds and meets an average daily census of 80 patients. The CMKC Division of Neonatology is staffed by 35 Neonatologists, 6 Pediatricians, and 1 Psychologist. The Division of Neonatology partners with 10 </w:t>
      </w:r>
      <w:proofErr w:type="gramStart"/>
      <w:r w:rsidRPr="00326187">
        <w:rPr>
          <w:rFonts w:ascii="Arial" w:hAnsi="Arial" w:cs="Arial"/>
          <w:sz w:val="22"/>
          <w:szCs w:val="22"/>
        </w:rPr>
        <w:t>external</w:t>
      </w:r>
      <w:proofErr w:type="gramEnd"/>
      <w:r w:rsidRPr="00326187">
        <w:rPr>
          <w:rFonts w:ascii="Arial" w:hAnsi="Arial" w:cs="Arial"/>
          <w:sz w:val="22"/>
          <w:szCs w:val="22"/>
        </w:rPr>
        <w:t xml:space="preserve"> regional NICU departments to provide additional expert clinical care to other institutions, managing a total of 220 NICU beds in the Kansas City Metro area. Our Neonatologists rotate to these other area hospitals: University of Kansas Medical Center, </w:t>
      </w:r>
      <w:proofErr w:type="spellStart"/>
      <w:r w:rsidRPr="00326187">
        <w:rPr>
          <w:rFonts w:ascii="Arial" w:hAnsi="Arial" w:cs="Arial"/>
          <w:sz w:val="22"/>
          <w:szCs w:val="22"/>
        </w:rPr>
        <w:t>AdventHealth</w:t>
      </w:r>
      <w:proofErr w:type="spellEnd"/>
      <w:r w:rsidRPr="00326187">
        <w:rPr>
          <w:rFonts w:ascii="Arial" w:hAnsi="Arial" w:cs="Arial"/>
          <w:sz w:val="22"/>
          <w:szCs w:val="22"/>
        </w:rPr>
        <w:t xml:space="preserve"> Shawnee Mission, University Health Truman Medical Center, University Health Lakewood Medical Center, Liberty Hospital, North Kansas City Hospital, Mosaic Life Care, Olathe Medical Center, </w:t>
      </w:r>
      <w:proofErr w:type="spellStart"/>
      <w:r w:rsidRPr="00326187">
        <w:rPr>
          <w:rFonts w:ascii="Arial" w:hAnsi="Arial" w:cs="Arial"/>
          <w:sz w:val="22"/>
          <w:szCs w:val="22"/>
        </w:rPr>
        <w:t>AdventHealth</w:t>
      </w:r>
      <w:proofErr w:type="spellEnd"/>
      <w:r w:rsidRPr="00326187">
        <w:rPr>
          <w:rFonts w:ascii="Arial" w:hAnsi="Arial" w:cs="Arial"/>
          <w:sz w:val="22"/>
          <w:szCs w:val="22"/>
        </w:rPr>
        <w:t xml:space="preserve"> South Overland Park, and Ascension Via Christi Wichita. The Division of Neonatology has had direct oversight of about 19,000 deliveries and has a total average daily NICU census of over 170 babies, which continues to increase annually. The 2022 NICU census included 964 admissions and 3528 clinical visits attended.</w:t>
      </w:r>
    </w:p>
    <w:p w14:paraId="3C8CA6CE" w14:textId="77777777" w:rsidR="00326187" w:rsidRPr="00326187" w:rsidRDefault="00326187" w:rsidP="00326187">
      <w:pPr>
        <w:spacing w:after="120"/>
        <w:rPr>
          <w:rFonts w:ascii="Arial" w:hAnsi="Arial" w:cs="Arial"/>
          <w:sz w:val="22"/>
          <w:szCs w:val="22"/>
        </w:rPr>
      </w:pPr>
      <w:r w:rsidRPr="00326187">
        <w:rPr>
          <w:rFonts w:ascii="Arial" w:hAnsi="Arial" w:cs="Arial"/>
          <w:sz w:val="22"/>
          <w:szCs w:val="22"/>
        </w:rPr>
        <w:t>Neonatal Follow-Up Clinics that provide care to NICU graduates comprise of the Special Care Clinic, the Infant Home Ventilator Clinic, and the NEON Clinic. The Well Baby Program consists of 4 Pediatricians and directs care to the Special Care Nursery patients. Telemedicine contracting within regional referral hospitals provides 24/7 Tele-Neonatology, granting the ability to connect with a CM Neonatologist at any time to oversee a resuscitation, assist with procedures, and consult on patients. The Neonatal-Perinatal Medicine Fellowship Program encompasses 7 fellows, who rotate clinically through multiple NICU educational opportunities and experiences.</w:t>
      </w:r>
    </w:p>
    <w:p w14:paraId="7AE7F763" w14:textId="77777777" w:rsidR="00326187" w:rsidRPr="00326187" w:rsidRDefault="00326187" w:rsidP="00326187">
      <w:pPr>
        <w:spacing w:after="120"/>
        <w:rPr>
          <w:rFonts w:ascii="Arial" w:hAnsi="Arial" w:cs="Arial"/>
          <w:sz w:val="22"/>
          <w:szCs w:val="22"/>
        </w:rPr>
      </w:pPr>
      <w:r w:rsidRPr="00326187">
        <w:rPr>
          <w:rFonts w:ascii="Arial" w:hAnsi="Arial" w:cs="Arial"/>
          <w:sz w:val="22"/>
          <w:szCs w:val="22"/>
        </w:rPr>
        <w:lastRenderedPageBreak/>
        <w:t xml:space="preserve">The Division of Neonatology encompasses robust basic, clinical, and translational research activity. The Division’s Infant Lung Center oversees the clinical research studies, with synergistic ties to the Neonatal Disease Research Program which continuously progresses our department’s translational research pursuits. Quality Improvement initiatives collaborate with both the Vermont Oxford Network and the Children’s Hospital Neonatal Consortium databases. </w:t>
      </w:r>
    </w:p>
    <w:p w14:paraId="6ED24DEF" w14:textId="300A86E7" w:rsidR="005A528E" w:rsidRPr="006F1486" w:rsidRDefault="005A528E" w:rsidP="00326187">
      <w:pPr>
        <w:spacing w:after="120"/>
        <w:rPr>
          <w:rFonts w:ascii="Arial" w:hAnsi="Arial" w:cs="Arial"/>
          <w:b/>
          <w:sz w:val="22"/>
          <w:szCs w:val="22"/>
        </w:rPr>
      </w:pPr>
      <w:r w:rsidRPr="006F1486">
        <w:rPr>
          <w:rFonts w:ascii="Arial" w:hAnsi="Arial" w:cs="Arial"/>
          <w:b/>
          <w:sz w:val="22"/>
          <w:szCs w:val="22"/>
        </w:rPr>
        <w:t>Clinical</w:t>
      </w:r>
    </w:p>
    <w:p w14:paraId="1504C203" w14:textId="47CC8B4A" w:rsidR="0061469E" w:rsidRDefault="0069442C" w:rsidP="001F3253">
      <w:pPr>
        <w:spacing w:after="120"/>
        <w:rPr>
          <w:rFonts w:ascii="Arial" w:hAnsi="Arial" w:cs="Arial"/>
          <w:sz w:val="22"/>
          <w:szCs w:val="22"/>
        </w:rPr>
      </w:pPr>
      <w:r>
        <w:rPr>
          <w:rFonts w:ascii="Arial" w:hAnsi="Arial" w:cs="Arial"/>
          <w:sz w:val="22"/>
          <w:szCs w:val="22"/>
        </w:rPr>
        <w:t>Children's Mercy Kansas City (CMKC</w:t>
      </w:r>
      <w:r w:rsidR="0061469E">
        <w:rPr>
          <w:rFonts w:ascii="Arial" w:hAnsi="Arial" w:cs="Arial"/>
          <w:sz w:val="22"/>
          <w:szCs w:val="22"/>
        </w:rPr>
        <w:t xml:space="preserve">) is a free-standing, </w:t>
      </w:r>
      <w:r w:rsidR="0061469E" w:rsidRPr="00474890">
        <w:rPr>
          <w:rFonts w:ascii="Arial" w:hAnsi="Arial" w:cs="Arial"/>
          <w:sz w:val="22"/>
          <w:szCs w:val="22"/>
        </w:rPr>
        <w:t>nonprofit 36</w:t>
      </w:r>
      <w:r>
        <w:rPr>
          <w:rFonts w:ascii="Arial" w:hAnsi="Arial" w:cs="Arial"/>
          <w:sz w:val="22"/>
          <w:szCs w:val="22"/>
        </w:rPr>
        <w:t>6</w:t>
      </w:r>
      <w:r w:rsidR="0061469E" w:rsidRPr="00474890">
        <w:rPr>
          <w:rFonts w:ascii="Arial" w:hAnsi="Arial" w:cs="Arial"/>
          <w:sz w:val="22"/>
          <w:szCs w:val="22"/>
        </w:rPr>
        <w:t xml:space="preserve"> bed</w:t>
      </w:r>
      <w:r w:rsidR="0061469E" w:rsidRPr="006F1486">
        <w:rPr>
          <w:rFonts w:ascii="Arial" w:hAnsi="Arial" w:cs="Arial"/>
          <w:sz w:val="22"/>
          <w:szCs w:val="22"/>
        </w:rPr>
        <w:t xml:space="preserve"> academic pediatric </w:t>
      </w:r>
      <w:r>
        <w:rPr>
          <w:rFonts w:ascii="Arial" w:hAnsi="Arial" w:cs="Arial"/>
          <w:sz w:val="22"/>
          <w:szCs w:val="22"/>
        </w:rPr>
        <w:t>health system</w:t>
      </w:r>
      <w:r w:rsidR="0061469E" w:rsidRPr="006F1486">
        <w:rPr>
          <w:rFonts w:ascii="Arial" w:hAnsi="Arial" w:cs="Arial"/>
          <w:sz w:val="22"/>
          <w:szCs w:val="22"/>
        </w:rPr>
        <w:t xml:space="preserve"> located in Kansas City, Missouri that provides comprehensive </w:t>
      </w:r>
      <w:r w:rsidR="000214DC" w:rsidRPr="004C06ED">
        <w:rPr>
          <w:rFonts w:ascii="Arial" w:hAnsi="Arial" w:cs="Arial"/>
          <w:sz w:val="22"/>
          <w:szCs w:val="22"/>
        </w:rPr>
        <w:t xml:space="preserve">primary and tertiary specialty care to children (including patients up to the age of 21 in some specialties) from approximately a </w:t>
      </w:r>
      <w:r w:rsidR="000214DC" w:rsidRPr="004C06ED">
        <w:rPr>
          <w:rFonts w:ascii="Arial" w:hAnsi="Arial" w:cs="Arial"/>
          <w:color w:val="000000"/>
          <w:sz w:val="22"/>
          <w:szCs w:val="22"/>
        </w:rPr>
        <w:t>189-county region in Missouri and Kansas, as well as more than 40 other states.</w:t>
      </w:r>
      <w:r w:rsidR="000214DC">
        <w:rPr>
          <w:rFonts w:ascii="Arial" w:hAnsi="Arial" w:cs="Arial"/>
          <w:color w:val="000000"/>
          <w:sz w:val="22"/>
          <w:szCs w:val="22"/>
        </w:rPr>
        <w:t xml:space="preserve"> </w:t>
      </w:r>
      <w:r w:rsidR="0061469E" w:rsidRPr="006F1486">
        <w:rPr>
          <w:rFonts w:ascii="Arial" w:hAnsi="Arial" w:cs="Arial"/>
          <w:sz w:val="22"/>
          <w:szCs w:val="22"/>
        </w:rPr>
        <w:t xml:space="preserve"> </w:t>
      </w:r>
      <w:r w:rsidRPr="006F1486">
        <w:rPr>
          <w:rFonts w:ascii="Arial" w:hAnsi="Arial" w:cs="Arial"/>
          <w:sz w:val="22"/>
          <w:szCs w:val="22"/>
        </w:rPr>
        <w:t xml:space="preserve">It </w:t>
      </w:r>
      <w:r>
        <w:rPr>
          <w:rFonts w:ascii="Arial" w:hAnsi="Arial" w:cs="Arial"/>
          <w:sz w:val="22"/>
          <w:szCs w:val="22"/>
        </w:rPr>
        <w:t xml:space="preserve">offers the only </w:t>
      </w:r>
      <w:r w:rsidR="00C443C8">
        <w:rPr>
          <w:rFonts w:ascii="Arial" w:hAnsi="Arial" w:cs="Arial"/>
          <w:sz w:val="22"/>
          <w:szCs w:val="22"/>
        </w:rPr>
        <w:t>American College of Surgeons</w:t>
      </w:r>
      <w:r w:rsidR="00674DDE">
        <w:rPr>
          <w:rFonts w:ascii="Arial" w:hAnsi="Arial" w:cs="Arial"/>
          <w:sz w:val="22"/>
          <w:szCs w:val="22"/>
        </w:rPr>
        <w:t xml:space="preserve">-verified </w:t>
      </w:r>
      <w:r>
        <w:rPr>
          <w:rFonts w:ascii="Arial" w:hAnsi="Arial" w:cs="Arial"/>
          <w:sz w:val="22"/>
          <w:szCs w:val="22"/>
        </w:rPr>
        <w:t xml:space="preserve">Level I </w:t>
      </w:r>
      <w:r w:rsidR="00674DDE">
        <w:rPr>
          <w:rFonts w:ascii="Arial" w:hAnsi="Arial" w:cs="Arial"/>
          <w:sz w:val="22"/>
          <w:szCs w:val="22"/>
        </w:rPr>
        <w:t>P</w:t>
      </w:r>
      <w:r>
        <w:rPr>
          <w:rFonts w:ascii="Arial" w:hAnsi="Arial" w:cs="Arial"/>
          <w:sz w:val="22"/>
          <w:szCs w:val="22"/>
        </w:rPr>
        <w:t xml:space="preserve">ediatric </w:t>
      </w:r>
      <w:r w:rsidR="00674DDE">
        <w:rPr>
          <w:rFonts w:ascii="Arial" w:hAnsi="Arial" w:cs="Arial"/>
          <w:sz w:val="22"/>
          <w:szCs w:val="22"/>
        </w:rPr>
        <w:t>T</w:t>
      </w:r>
      <w:r>
        <w:rPr>
          <w:rFonts w:ascii="Arial" w:hAnsi="Arial" w:cs="Arial"/>
          <w:sz w:val="22"/>
          <w:szCs w:val="22"/>
        </w:rPr>
        <w:t xml:space="preserve">rauma </w:t>
      </w:r>
      <w:r w:rsidR="00674DDE">
        <w:rPr>
          <w:rFonts w:ascii="Arial" w:hAnsi="Arial" w:cs="Arial"/>
          <w:sz w:val="22"/>
          <w:szCs w:val="22"/>
        </w:rPr>
        <w:t>C</w:t>
      </w:r>
      <w:r>
        <w:rPr>
          <w:rFonts w:ascii="Arial" w:hAnsi="Arial" w:cs="Arial"/>
          <w:sz w:val="22"/>
          <w:szCs w:val="22"/>
        </w:rPr>
        <w:t xml:space="preserve">enter and the only Level IV NICU </w:t>
      </w:r>
      <w:r w:rsidRPr="006F1486">
        <w:rPr>
          <w:rFonts w:ascii="Arial" w:hAnsi="Arial" w:cs="Arial"/>
          <w:sz w:val="22"/>
          <w:szCs w:val="22"/>
        </w:rPr>
        <w:t>between St. Louis and Denver.</w:t>
      </w:r>
      <w:r w:rsidR="0061469E" w:rsidRPr="006F1486">
        <w:rPr>
          <w:rFonts w:ascii="Arial" w:hAnsi="Arial" w:cs="Arial"/>
          <w:sz w:val="22"/>
          <w:szCs w:val="22"/>
        </w:rPr>
        <w:t xml:space="preserve"> Comprehensive care is provided </w:t>
      </w:r>
      <w:r>
        <w:rPr>
          <w:rFonts w:ascii="Arial" w:hAnsi="Arial" w:cs="Arial"/>
          <w:sz w:val="22"/>
          <w:szCs w:val="22"/>
        </w:rPr>
        <w:t>by more than 700 medical staff members representing more than 40 specialty areas</w:t>
      </w:r>
      <w:r w:rsidR="0061469E" w:rsidRPr="00C43D78">
        <w:rPr>
          <w:rFonts w:ascii="Arial" w:hAnsi="Arial" w:cs="Arial"/>
          <w:sz w:val="22"/>
          <w:szCs w:val="22"/>
        </w:rPr>
        <w:t xml:space="preserve"> including</w:t>
      </w:r>
      <w:r w:rsidR="0061469E" w:rsidRPr="006F1486">
        <w:rPr>
          <w:rFonts w:ascii="Arial" w:hAnsi="Arial" w:cs="Arial"/>
          <w:sz w:val="22"/>
          <w:szCs w:val="22"/>
        </w:rPr>
        <w:t xml:space="preserve"> Adolescent Medicine, Allergy/Immunology, </w:t>
      </w:r>
      <w:r w:rsidR="0061469E">
        <w:rPr>
          <w:rFonts w:ascii="Arial" w:hAnsi="Arial" w:cs="Arial"/>
          <w:sz w:val="22"/>
          <w:szCs w:val="22"/>
        </w:rPr>
        <w:t xml:space="preserve">Developmental and </w:t>
      </w:r>
      <w:r w:rsidR="0061469E" w:rsidRPr="006F1486">
        <w:rPr>
          <w:rFonts w:ascii="Arial" w:hAnsi="Arial" w:cs="Arial"/>
          <w:sz w:val="22"/>
          <w:szCs w:val="22"/>
        </w:rPr>
        <w:t>Behavioral Pediatrics, Cardiology, Clinical Toxicology, Clini</w:t>
      </w:r>
      <w:r w:rsidR="0061469E">
        <w:rPr>
          <w:rFonts w:ascii="Arial" w:hAnsi="Arial" w:cs="Arial"/>
          <w:sz w:val="22"/>
          <w:szCs w:val="22"/>
        </w:rPr>
        <w:t xml:space="preserve">cal Pharmacology, </w:t>
      </w:r>
      <w:bookmarkStart w:id="0" w:name="_Hlk42004839"/>
      <w:r w:rsidR="0061469E">
        <w:rPr>
          <w:rFonts w:ascii="Arial" w:hAnsi="Arial" w:cs="Arial"/>
          <w:sz w:val="22"/>
          <w:szCs w:val="22"/>
        </w:rPr>
        <w:t>Craniofacial Reconstructive S</w:t>
      </w:r>
      <w:r w:rsidR="0061469E" w:rsidRPr="006F1486">
        <w:rPr>
          <w:rFonts w:ascii="Arial" w:hAnsi="Arial" w:cs="Arial"/>
          <w:sz w:val="22"/>
          <w:szCs w:val="22"/>
        </w:rPr>
        <w:t xml:space="preserve">urgery, Critical Care, Emergency Medicine, Endocrinology/Metabolism, Gastroenterology, Genetics, Infectious Diseases, Hematology/Oncology, Bone Marrow Transplantation, General Pediatrics, Neonatology, Nephrology/Dialysis, Neurology, Ophthalmology, Otolaryngology, Orthopedics, Pulmonology, Rehabilitation Medicine, </w:t>
      </w:r>
      <w:r w:rsidR="0061469E">
        <w:rPr>
          <w:rFonts w:ascii="Arial" w:hAnsi="Arial" w:cs="Arial"/>
          <w:sz w:val="22"/>
          <w:szCs w:val="22"/>
        </w:rPr>
        <w:t xml:space="preserve">Rheumatology, </w:t>
      </w:r>
      <w:r w:rsidR="0061469E" w:rsidRPr="006F1486">
        <w:rPr>
          <w:rFonts w:ascii="Arial" w:hAnsi="Arial" w:cs="Arial"/>
          <w:sz w:val="22"/>
          <w:szCs w:val="22"/>
        </w:rPr>
        <w:t>Pediatric Surgery, Pediatric Sleep Clinic, Ped</w:t>
      </w:r>
      <w:r w:rsidR="0061469E">
        <w:rPr>
          <w:rFonts w:ascii="Arial" w:hAnsi="Arial" w:cs="Arial"/>
          <w:sz w:val="22"/>
          <w:szCs w:val="22"/>
        </w:rPr>
        <w:t xml:space="preserve">iatric Cardiovascular Surgery, Solid Organ Transplantation, </w:t>
      </w:r>
      <w:r w:rsidR="0061469E" w:rsidRPr="006F1486">
        <w:rPr>
          <w:rFonts w:ascii="Arial" w:hAnsi="Arial" w:cs="Arial"/>
          <w:sz w:val="22"/>
          <w:szCs w:val="22"/>
        </w:rPr>
        <w:t>Urology</w:t>
      </w:r>
      <w:bookmarkEnd w:id="0"/>
      <w:r w:rsidR="0061469E">
        <w:rPr>
          <w:rFonts w:ascii="Arial" w:hAnsi="Arial" w:cs="Arial"/>
          <w:sz w:val="22"/>
          <w:szCs w:val="22"/>
        </w:rPr>
        <w:t>, and a Fetal Health Center for the delivery of high-risk pregnancies</w:t>
      </w:r>
      <w:r w:rsidR="0061469E" w:rsidRPr="006F1486">
        <w:rPr>
          <w:rFonts w:ascii="Arial" w:hAnsi="Arial" w:cs="Arial"/>
          <w:sz w:val="22"/>
          <w:szCs w:val="22"/>
        </w:rPr>
        <w:t xml:space="preserve">.  The Hospital is the only </w:t>
      </w:r>
      <w:r>
        <w:rPr>
          <w:rFonts w:ascii="Arial" w:hAnsi="Arial" w:cs="Arial"/>
          <w:sz w:val="22"/>
          <w:szCs w:val="22"/>
        </w:rPr>
        <w:t>L</w:t>
      </w:r>
      <w:r w:rsidR="0061469E" w:rsidRPr="006F1486">
        <w:rPr>
          <w:rFonts w:ascii="Arial" w:hAnsi="Arial" w:cs="Arial"/>
          <w:sz w:val="22"/>
          <w:szCs w:val="22"/>
        </w:rPr>
        <w:t xml:space="preserve">evel </w:t>
      </w:r>
      <w:r>
        <w:rPr>
          <w:rFonts w:ascii="Arial" w:hAnsi="Arial" w:cs="Arial"/>
          <w:sz w:val="22"/>
          <w:szCs w:val="22"/>
        </w:rPr>
        <w:t>I</w:t>
      </w:r>
      <w:r w:rsidR="0061469E" w:rsidRPr="006F1486">
        <w:rPr>
          <w:rFonts w:ascii="Arial" w:hAnsi="Arial" w:cs="Arial"/>
          <w:sz w:val="22"/>
          <w:szCs w:val="22"/>
        </w:rPr>
        <w:t xml:space="preserve"> pediatric t</w:t>
      </w:r>
      <w:r w:rsidR="0061469E">
        <w:rPr>
          <w:rFonts w:ascii="Arial" w:hAnsi="Arial" w:cs="Arial"/>
          <w:sz w:val="22"/>
          <w:szCs w:val="22"/>
        </w:rPr>
        <w:t xml:space="preserve">rauma center in the region and </w:t>
      </w:r>
      <w:r w:rsidR="0061469E" w:rsidRPr="006F1486">
        <w:rPr>
          <w:rFonts w:ascii="Arial" w:hAnsi="Arial" w:cs="Arial"/>
          <w:sz w:val="22"/>
          <w:szCs w:val="22"/>
        </w:rPr>
        <w:t xml:space="preserve">is the primary pediatric teaching hospital for the </w:t>
      </w:r>
      <w:r w:rsidR="00F5166C">
        <w:rPr>
          <w:rFonts w:ascii="Arial" w:hAnsi="Arial" w:cs="Arial"/>
          <w:sz w:val="22"/>
          <w:szCs w:val="22"/>
        </w:rPr>
        <w:t xml:space="preserve">Schools of Medicine at the </w:t>
      </w:r>
      <w:r w:rsidR="0061469E" w:rsidRPr="006F1486">
        <w:rPr>
          <w:rFonts w:ascii="Arial" w:hAnsi="Arial" w:cs="Arial"/>
          <w:sz w:val="22"/>
          <w:szCs w:val="22"/>
        </w:rPr>
        <w:t xml:space="preserve">University of Missouri-Kansas City (UMKC) </w:t>
      </w:r>
      <w:r w:rsidR="00F5166C">
        <w:rPr>
          <w:rFonts w:ascii="Arial" w:hAnsi="Arial" w:cs="Arial"/>
          <w:sz w:val="22"/>
          <w:szCs w:val="22"/>
        </w:rPr>
        <w:t>and Kansas University Medical Center (</w:t>
      </w:r>
      <w:r w:rsidR="00E426F7">
        <w:rPr>
          <w:rFonts w:ascii="Arial" w:hAnsi="Arial" w:cs="Arial"/>
          <w:sz w:val="22"/>
          <w:szCs w:val="22"/>
        </w:rPr>
        <w:t>KUMC)</w:t>
      </w:r>
      <w:r w:rsidR="0061469E">
        <w:rPr>
          <w:rFonts w:ascii="Arial" w:hAnsi="Arial" w:cs="Arial"/>
          <w:sz w:val="22"/>
          <w:szCs w:val="22"/>
        </w:rPr>
        <w:t xml:space="preserve">.  </w:t>
      </w:r>
      <w:r w:rsidR="00E426F7" w:rsidRPr="004C06ED">
        <w:rPr>
          <w:rFonts w:ascii="Arial" w:hAnsi="Arial" w:cs="Arial"/>
          <w:sz w:val="22"/>
          <w:szCs w:val="22"/>
        </w:rPr>
        <w:t xml:space="preserve">The hospital is located on the </w:t>
      </w:r>
      <w:r w:rsidR="00E426F7">
        <w:rPr>
          <w:rFonts w:ascii="Arial" w:hAnsi="Arial" w:cs="Arial"/>
          <w:sz w:val="22"/>
          <w:szCs w:val="22"/>
        </w:rPr>
        <w:t xml:space="preserve">UMKC </w:t>
      </w:r>
      <w:r w:rsidR="00E426F7" w:rsidRPr="004C06ED">
        <w:rPr>
          <w:rFonts w:ascii="Arial" w:hAnsi="Arial" w:cs="Arial"/>
          <w:sz w:val="22"/>
          <w:szCs w:val="22"/>
        </w:rPr>
        <w:t xml:space="preserve">Medical Center campus adjacent to the adult teaching hospitals and UMKC Schools of Medicine, Dentistry, and Pharmacy. </w:t>
      </w:r>
      <w:r w:rsidR="00E426F7">
        <w:rPr>
          <w:rFonts w:ascii="Arial" w:hAnsi="Arial" w:cs="Arial"/>
          <w:sz w:val="22"/>
          <w:szCs w:val="22"/>
        </w:rPr>
        <w:t xml:space="preserve"> </w:t>
      </w:r>
      <w:r w:rsidR="0061469E">
        <w:rPr>
          <w:rFonts w:ascii="Arial" w:hAnsi="Arial" w:cs="Arial"/>
          <w:sz w:val="22"/>
          <w:szCs w:val="22"/>
        </w:rPr>
        <w:t>CMH's primary service area consists of 18 counties, nine each in the states of Missouri and Kansas, with an additional 20 counties in Kansas and 3</w:t>
      </w:r>
      <w:r w:rsidR="00A256D0">
        <w:rPr>
          <w:rFonts w:ascii="Arial" w:hAnsi="Arial" w:cs="Arial"/>
          <w:sz w:val="22"/>
          <w:szCs w:val="22"/>
        </w:rPr>
        <w:t>1</w:t>
      </w:r>
      <w:r w:rsidR="0061469E">
        <w:rPr>
          <w:rFonts w:ascii="Arial" w:hAnsi="Arial" w:cs="Arial"/>
          <w:sz w:val="22"/>
          <w:szCs w:val="22"/>
        </w:rPr>
        <w:t xml:space="preserve"> counties in Missouri constituting its secondary service area.  The area served by outreach clinics includes a further 2</w:t>
      </w:r>
      <w:r w:rsidR="00A256D0">
        <w:rPr>
          <w:rFonts w:ascii="Arial" w:hAnsi="Arial" w:cs="Arial"/>
          <w:sz w:val="22"/>
          <w:szCs w:val="22"/>
        </w:rPr>
        <w:t>0</w:t>
      </w:r>
      <w:r w:rsidR="0061469E">
        <w:rPr>
          <w:rFonts w:ascii="Arial" w:hAnsi="Arial" w:cs="Arial"/>
          <w:sz w:val="22"/>
          <w:szCs w:val="22"/>
        </w:rPr>
        <w:t xml:space="preserve"> and 2</w:t>
      </w:r>
      <w:r w:rsidR="00A256D0">
        <w:rPr>
          <w:rFonts w:ascii="Arial" w:hAnsi="Arial" w:cs="Arial"/>
          <w:sz w:val="22"/>
          <w:szCs w:val="22"/>
        </w:rPr>
        <w:t>3</w:t>
      </w:r>
      <w:r w:rsidR="0061469E">
        <w:rPr>
          <w:rFonts w:ascii="Arial" w:hAnsi="Arial" w:cs="Arial"/>
          <w:sz w:val="22"/>
          <w:szCs w:val="22"/>
        </w:rPr>
        <w:t xml:space="preserve"> counties in Kansas and Missouri, respectively, within a maximum three</w:t>
      </w:r>
      <w:r w:rsidR="00AC7DC2">
        <w:rPr>
          <w:rFonts w:ascii="Arial" w:hAnsi="Arial" w:cs="Arial"/>
          <w:sz w:val="22"/>
          <w:szCs w:val="22"/>
        </w:rPr>
        <w:t>-</w:t>
      </w:r>
      <w:r w:rsidR="0061469E">
        <w:rPr>
          <w:rFonts w:ascii="Arial" w:hAnsi="Arial" w:cs="Arial"/>
          <w:sz w:val="22"/>
          <w:szCs w:val="22"/>
        </w:rPr>
        <w:t>hour drive of the main campus in Kansas City, MO.</w:t>
      </w:r>
    </w:p>
    <w:p w14:paraId="7293AE0D" w14:textId="77777777" w:rsidR="0061469E" w:rsidRDefault="0061469E" w:rsidP="001F3253">
      <w:pPr>
        <w:spacing w:after="120"/>
        <w:rPr>
          <w:rFonts w:ascii="Arial" w:hAnsi="Arial" w:cs="Arial"/>
          <w:sz w:val="22"/>
          <w:szCs w:val="22"/>
        </w:rPr>
      </w:pPr>
      <w:r w:rsidRPr="006E540C">
        <w:rPr>
          <w:rFonts w:ascii="Arial" w:hAnsi="Arial" w:cs="Arial"/>
          <w:sz w:val="22"/>
          <w:szCs w:val="22"/>
          <w:u w:val="single"/>
        </w:rPr>
        <w:t>Ambulatory:</w:t>
      </w:r>
      <w:r w:rsidRPr="006F1486">
        <w:rPr>
          <w:rFonts w:ascii="Arial" w:hAnsi="Arial" w:cs="Arial"/>
          <w:sz w:val="22"/>
          <w:szCs w:val="22"/>
        </w:rPr>
        <w:t xml:space="preserve"> Ambulatory pediatric care is predominantly delivered in a 7-story ambulatory building adjacent to and connected to the main hospital, in a specialty clinic facility located at the Children’s Mercy Hospital South Campus in Overland Park (Johnson County), KS; a facility that also has 5</w:t>
      </w:r>
      <w:r>
        <w:rPr>
          <w:rFonts w:ascii="Arial" w:hAnsi="Arial" w:cs="Arial"/>
          <w:sz w:val="22"/>
          <w:szCs w:val="22"/>
        </w:rPr>
        <w:t>3</w:t>
      </w:r>
      <w:r w:rsidRPr="006F1486">
        <w:rPr>
          <w:rFonts w:ascii="Arial" w:hAnsi="Arial" w:cs="Arial"/>
          <w:sz w:val="22"/>
          <w:szCs w:val="22"/>
        </w:rPr>
        <w:t xml:space="preserve"> inpatient beds staffed by Hospitalist members of the CMH pediatric faculty; at Children’s Mercy Northland, located in Kansas City, MO (approx. 14 miles from the main campus); and at Children’s Mercy Clinics on Broadway (approx. 2 miles from the main campus).  Urgent and emergent ambulatory care is provided in the Emergency Department facility located in the main hospital and the suburban urgent care centers.  The Emergency Department is staffed 24 hours/day, 365 days/year by board certified pediatric emergency medicine physicians.  </w:t>
      </w:r>
    </w:p>
    <w:p w14:paraId="0083EDEE" w14:textId="56F472D2" w:rsidR="005E0838" w:rsidRDefault="005E0838" w:rsidP="005E0838">
      <w:pPr>
        <w:rPr>
          <w:rFonts w:ascii="Arial" w:hAnsi="Arial" w:cs="Arial"/>
          <w:sz w:val="22"/>
          <w:szCs w:val="22"/>
        </w:rPr>
      </w:pPr>
      <w:r w:rsidRPr="00C06EDB">
        <w:rPr>
          <w:rFonts w:ascii="Arial" w:hAnsi="Arial" w:cs="Arial"/>
          <w:sz w:val="22"/>
          <w:szCs w:val="22"/>
        </w:rPr>
        <w:t xml:space="preserve">Children’s Mercy is licensed for 390 inpatient beds: 338 at Adele Hall, the main campus, and 52 at Children’s Mercy Hospital Kansas, the suburban campus in Overland Park. Of these beds, 154 are in specialized care units. The Level IV neonatal intensive care unit (NICU) has 87 beds. The pediatric intensive care unit is a combined medical-surgical unit separated into two specialized ICUs: Pediatric intensive care unit (PICU, 43 beds) and cardiac intensive care unit (CICU, 24 beds). </w:t>
      </w:r>
    </w:p>
    <w:p w14:paraId="7AE5C08C" w14:textId="77777777" w:rsidR="005E0838" w:rsidRPr="00C06EDB" w:rsidRDefault="005E0838" w:rsidP="005E0838">
      <w:pPr>
        <w:rPr>
          <w:rFonts w:ascii="Arial" w:hAnsi="Arial" w:cs="Arial"/>
          <w:sz w:val="22"/>
          <w:szCs w:val="22"/>
        </w:rPr>
      </w:pPr>
    </w:p>
    <w:p w14:paraId="591E29AB" w14:textId="77777777" w:rsidR="00A645D0" w:rsidRPr="00A645D0" w:rsidRDefault="00A645D0" w:rsidP="00A645D0">
      <w:pPr>
        <w:spacing w:after="120"/>
        <w:rPr>
          <w:rFonts w:ascii="Arial" w:hAnsi="Arial" w:cs="Arial"/>
          <w:sz w:val="22"/>
          <w:szCs w:val="22"/>
        </w:rPr>
      </w:pPr>
      <w:r w:rsidRPr="00A645D0">
        <w:rPr>
          <w:rFonts w:ascii="Arial" w:hAnsi="Arial" w:cs="Arial"/>
          <w:sz w:val="22"/>
          <w:szCs w:val="22"/>
        </w:rPr>
        <w:t xml:space="preserve">During FY 2023, there were 14,120 inpatient admissions with approximately 94,170 total patient-days, including 28,032 NICU patient days, 9,454 PICU patient-days and 4,526 CICU patient-days (CICU patient-days were reported with PICU days prior to FY 2022, when they were broken out). During this same reporting period there were 348,760 outpatient specialty visits, including 129,764 at the main campus; 44,605 at Children's Mercy Hospital Kansas Specialty Clinics in suburban Johnson County, KS; 21,639 at Children's Mercy North Specialty Clinics, 8,612 at Children’s Mercy East Specialty Clinics; 27,383 at College Boulevard Clinics; 2,852 at Children’s Mercy Blue Valley; 47,043 at Primary Care Clinics; and 397 visits to Outreach Clinics.  </w:t>
      </w:r>
    </w:p>
    <w:p w14:paraId="75317210" w14:textId="77777777" w:rsidR="00A645D0" w:rsidRPr="00A645D0" w:rsidRDefault="00A645D0" w:rsidP="00A645D0">
      <w:pPr>
        <w:spacing w:after="120"/>
        <w:rPr>
          <w:rFonts w:ascii="Arial" w:hAnsi="Arial" w:cs="Arial"/>
          <w:b/>
          <w:bCs/>
          <w:sz w:val="22"/>
          <w:szCs w:val="22"/>
        </w:rPr>
      </w:pPr>
    </w:p>
    <w:p w14:paraId="04F1D411" w14:textId="77777777" w:rsidR="00A645D0" w:rsidRPr="00A645D0" w:rsidRDefault="00A645D0" w:rsidP="00A645D0">
      <w:pPr>
        <w:spacing w:after="120"/>
        <w:rPr>
          <w:rFonts w:ascii="Arial" w:hAnsi="Arial" w:cs="Arial"/>
          <w:sz w:val="22"/>
          <w:szCs w:val="22"/>
        </w:rPr>
      </w:pPr>
      <w:r w:rsidRPr="00A645D0">
        <w:rPr>
          <w:rFonts w:ascii="Arial" w:hAnsi="Arial" w:cs="Arial"/>
          <w:sz w:val="22"/>
          <w:szCs w:val="22"/>
        </w:rPr>
        <w:t xml:space="preserve">There were also 203,635 emergency/urgent care visits. In addition, there were 19,907 total surgical procedures, 5,500 transports, and 7,454 home care visits.  </w:t>
      </w:r>
    </w:p>
    <w:p w14:paraId="4C613437" w14:textId="77777777" w:rsidR="00A645D0" w:rsidRPr="00A645D0" w:rsidRDefault="00A645D0" w:rsidP="00A645D0">
      <w:pPr>
        <w:spacing w:after="120"/>
        <w:rPr>
          <w:rFonts w:ascii="Arial" w:hAnsi="Arial" w:cs="Arial"/>
          <w:b/>
          <w:bCs/>
          <w:sz w:val="22"/>
          <w:szCs w:val="22"/>
        </w:rPr>
      </w:pPr>
    </w:p>
    <w:p w14:paraId="481D09FB" w14:textId="77777777" w:rsidR="00A645D0" w:rsidRPr="00A645D0" w:rsidRDefault="00A645D0" w:rsidP="00A645D0">
      <w:pPr>
        <w:spacing w:after="120"/>
        <w:rPr>
          <w:rFonts w:ascii="Arial" w:hAnsi="Arial" w:cs="Arial"/>
          <w:sz w:val="22"/>
          <w:szCs w:val="22"/>
        </w:rPr>
      </w:pPr>
      <w:r w:rsidRPr="00A645D0">
        <w:rPr>
          <w:rFonts w:ascii="Arial" w:hAnsi="Arial" w:cs="Arial"/>
          <w:sz w:val="22"/>
          <w:szCs w:val="22"/>
        </w:rPr>
        <w:t>Children’s Mercy is the region’s pediatric provider choice as we have over 89% market share among pediatric medical/surgical patients in the 6-county KC Metro Service Area (MSA) and over 85% market share in the 18-</w:t>
      </w:r>
      <w:r w:rsidRPr="00A645D0">
        <w:rPr>
          <w:rFonts w:ascii="Arial" w:hAnsi="Arial" w:cs="Arial"/>
          <w:sz w:val="22"/>
          <w:szCs w:val="22"/>
        </w:rPr>
        <w:lastRenderedPageBreak/>
        <w:t>county Primary Service Area (PSA). In FY 2023, CMH saw patients from all 105 counties in Kansas, 113/115 counties in Missouri, and 50/50 states plus the District of Columbia. Children’s Mercy has been ranked in all 10 pediatric subspecialties by US News and World Report for 6 of the past 8 years and in the survey released in 2023 had six subspecialties ranked in the top 30.</w:t>
      </w:r>
    </w:p>
    <w:p w14:paraId="1D14C085" w14:textId="77777777" w:rsidR="00A645D0" w:rsidRPr="00A645D0" w:rsidRDefault="00A645D0" w:rsidP="00A645D0">
      <w:pPr>
        <w:spacing w:after="120"/>
        <w:rPr>
          <w:rFonts w:ascii="Arial" w:hAnsi="Arial" w:cs="Arial"/>
          <w:b/>
          <w:bCs/>
          <w:sz w:val="22"/>
          <w:szCs w:val="22"/>
        </w:rPr>
      </w:pPr>
    </w:p>
    <w:p w14:paraId="402A7C18" w14:textId="77777777" w:rsidR="00A645D0" w:rsidRPr="00A645D0" w:rsidRDefault="00A645D0" w:rsidP="00A645D0">
      <w:pPr>
        <w:spacing w:after="120"/>
        <w:rPr>
          <w:rFonts w:ascii="Arial" w:hAnsi="Arial" w:cs="Arial"/>
          <w:sz w:val="22"/>
          <w:szCs w:val="22"/>
        </w:rPr>
      </w:pPr>
      <w:r w:rsidRPr="00A645D0">
        <w:rPr>
          <w:rFonts w:ascii="Arial" w:hAnsi="Arial" w:cs="Arial"/>
          <w:sz w:val="22"/>
          <w:szCs w:val="22"/>
        </w:rPr>
        <w:t>The demographics of the population served by CMH (from fiscal year 2023) are as follows:</w:t>
      </w:r>
    </w:p>
    <w:tbl>
      <w:tblPr>
        <w:tblW w:w="10430" w:type="dxa"/>
        <w:tblLook w:val="04A0" w:firstRow="1" w:lastRow="0" w:firstColumn="1" w:lastColumn="0" w:noHBand="0" w:noVBand="1"/>
      </w:tblPr>
      <w:tblGrid>
        <w:gridCol w:w="2140"/>
        <w:gridCol w:w="963"/>
        <w:gridCol w:w="340"/>
        <w:gridCol w:w="987"/>
        <w:gridCol w:w="963"/>
        <w:gridCol w:w="320"/>
        <w:gridCol w:w="3625"/>
        <w:gridCol w:w="1170"/>
      </w:tblGrid>
      <w:tr w:rsidR="005E0838" w:rsidRPr="00C06EDB" w14:paraId="42993977" w14:textId="77777777" w:rsidTr="007C42EC">
        <w:trPr>
          <w:trHeight w:val="315"/>
        </w:trPr>
        <w:tc>
          <w:tcPr>
            <w:tcW w:w="2140" w:type="dxa"/>
            <w:tcBorders>
              <w:top w:val="single" w:sz="8" w:space="0" w:color="auto"/>
              <w:left w:val="single" w:sz="8" w:space="0" w:color="auto"/>
              <w:bottom w:val="single" w:sz="8" w:space="0" w:color="auto"/>
              <w:right w:val="single" w:sz="8" w:space="0" w:color="auto"/>
            </w:tcBorders>
            <w:shd w:val="clear" w:color="auto" w:fill="DDD9C3" w:themeFill="background2" w:themeFillShade="E6"/>
            <w:noWrap/>
            <w:vAlign w:val="center"/>
            <w:hideMark/>
          </w:tcPr>
          <w:p w14:paraId="4CD96119" w14:textId="77777777" w:rsidR="005E0838" w:rsidRPr="00C06EDB" w:rsidRDefault="005E0838" w:rsidP="007C42EC">
            <w:pPr>
              <w:rPr>
                <w:rFonts w:ascii="Arial" w:hAnsi="Arial" w:cs="Arial"/>
                <w:b/>
                <w:bCs/>
                <w:color w:val="000000"/>
                <w:sz w:val="22"/>
                <w:szCs w:val="22"/>
              </w:rPr>
            </w:pPr>
            <w:r w:rsidRPr="00C06EDB">
              <w:rPr>
                <w:rFonts w:ascii="Arial" w:hAnsi="Arial" w:cs="Arial"/>
                <w:b/>
                <w:bCs/>
                <w:color w:val="000000"/>
                <w:sz w:val="22"/>
                <w:szCs w:val="22"/>
              </w:rPr>
              <w:t>Age Range</w:t>
            </w:r>
          </w:p>
        </w:tc>
        <w:tc>
          <w:tcPr>
            <w:tcW w:w="960" w:type="dxa"/>
            <w:tcBorders>
              <w:top w:val="single" w:sz="8" w:space="0" w:color="auto"/>
              <w:left w:val="nil"/>
              <w:bottom w:val="single" w:sz="8" w:space="0" w:color="auto"/>
              <w:right w:val="single" w:sz="8" w:space="0" w:color="auto"/>
            </w:tcBorders>
            <w:shd w:val="clear" w:color="auto" w:fill="DDD9C3" w:themeFill="background2" w:themeFillShade="E6"/>
            <w:noWrap/>
            <w:vAlign w:val="center"/>
            <w:hideMark/>
          </w:tcPr>
          <w:p w14:paraId="4A6EECA0" w14:textId="77777777" w:rsidR="005E0838" w:rsidRPr="00C06EDB" w:rsidRDefault="005E0838" w:rsidP="007C42EC">
            <w:pPr>
              <w:jc w:val="center"/>
              <w:rPr>
                <w:rFonts w:ascii="Arial" w:hAnsi="Arial" w:cs="Arial"/>
                <w:b/>
                <w:bCs/>
                <w:color w:val="000000"/>
                <w:sz w:val="22"/>
                <w:szCs w:val="22"/>
              </w:rPr>
            </w:pPr>
            <w:r w:rsidRPr="00C06EDB">
              <w:rPr>
                <w:rFonts w:ascii="Arial" w:hAnsi="Arial" w:cs="Arial"/>
                <w:b/>
                <w:bCs/>
                <w:color w:val="000000"/>
                <w:sz w:val="22"/>
                <w:szCs w:val="22"/>
              </w:rPr>
              <w:t>Total</w:t>
            </w:r>
          </w:p>
        </w:tc>
        <w:tc>
          <w:tcPr>
            <w:tcW w:w="340" w:type="dxa"/>
            <w:tcBorders>
              <w:top w:val="nil"/>
              <w:left w:val="nil"/>
              <w:bottom w:val="nil"/>
              <w:right w:val="nil"/>
            </w:tcBorders>
            <w:shd w:val="clear" w:color="auto" w:fill="auto"/>
            <w:noWrap/>
            <w:vAlign w:val="bottom"/>
            <w:hideMark/>
          </w:tcPr>
          <w:p w14:paraId="1C788939" w14:textId="77777777" w:rsidR="005E0838" w:rsidRPr="00C06EDB" w:rsidRDefault="005E0838" w:rsidP="007C42EC">
            <w:pPr>
              <w:rPr>
                <w:rFonts w:ascii="Arial" w:hAnsi="Arial" w:cs="Arial"/>
                <w:b/>
                <w:bCs/>
                <w:color w:val="000000"/>
                <w:sz w:val="22"/>
                <w:szCs w:val="22"/>
              </w:rPr>
            </w:pPr>
          </w:p>
        </w:tc>
        <w:tc>
          <w:tcPr>
            <w:tcW w:w="915" w:type="dxa"/>
            <w:tcBorders>
              <w:top w:val="single" w:sz="8" w:space="0" w:color="auto"/>
              <w:left w:val="single" w:sz="8" w:space="0" w:color="auto"/>
              <w:bottom w:val="single" w:sz="8" w:space="0" w:color="auto"/>
              <w:right w:val="single" w:sz="8" w:space="0" w:color="auto"/>
            </w:tcBorders>
            <w:shd w:val="clear" w:color="auto" w:fill="DDD9C3" w:themeFill="background2" w:themeFillShade="E6"/>
            <w:vAlign w:val="center"/>
            <w:hideMark/>
          </w:tcPr>
          <w:p w14:paraId="5735140A" w14:textId="77777777" w:rsidR="005E0838" w:rsidRPr="00C06EDB" w:rsidRDefault="005E0838" w:rsidP="007C42EC">
            <w:pPr>
              <w:rPr>
                <w:rFonts w:ascii="Arial" w:hAnsi="Arial" w:cs="Arial"/>
                <w:b/>
                <w:bCs/>
                <w:color w:val="000000"/>
                <w:sz w:val="22"/>
                <w:szCs w:val="22"/>
              </w:rPr>
            </w:pPr>
            <w:r w:rsidRPr="00C06EDB">
              <w:rPr>
                <w:rFonts w:ascii="Arial" w:hAnsi="Arial" w:cs="Arial"/>
                <w:b/>
                <w:bCs/>
                <w:color w:val="000000"/>
                <w:sz w:val="22"/>
                <w:szCs w:val="22"/>
              </w:rPr>
              <w:t>Gender</w:t>
            </w:r>
          </w:p>
        </w:tc>
        <w:tc>
          <w:tcPr>
            <w:tcW w:w="960" w:type="dxa"/>
            <w:tcBorders>
              <w:top w:val="single" w:sz="8" w:space="0" w:color="auto"/>
              <w:left w:val="nil"/>
              <w:bottom w:val="single" w:sz="8" w:space="0" w:color="auto"/>
              <w:right w:val="single" w:sz="8" w:space="0" w:color="auto"/>
            </w:tcBorders>
            <w:shd w:val="clear" w:color="auto" w:fill="DDD9C3" w:themeFill="background2" w:themeFillShade="E6"/>
            <w:noWrap/>
            <w:vAlign w:val="center"/>
            <w:hideMark/>
          </w:tcPr>
          <w:p w14:paraId="2A4EB6A6" w14:textId="77777777" w:rsidR="005E0838" w:rsidRPr="00C06EDB" w:rsidRDefault="005E0838" w:rsidP="007C42EC">
            <w:pPr>
              <w:jc w:val="center"/>
              <w:rPr>
                <w:rFonts w:ascii="Arial" w:hAnsi="Arial" w:cs="Arial"/>
                <w:b/>
                <w:bCs/>
                <w:color w:val="000000"/>
                <w:sz w:val="22"/>
                <w:szCs w:val="22"/>
              </w:rPr>
            </w:pPr>
            <w:r w:rsidRPr="00C06EDB">
              <w:rPr>
                <w:rFonts w:ascii="Arial" w:hAnsi="Arial" w:cs="Arial"/>
                <w:b/>
                <w:bCs/>
                <w:color w:val="000000"/>
                <w:sz w:val="22"/>
                <w:szCs w:val="22"/>
              </w:rPr>
              <w:t>Total</w:t>
            </w:r>
          </w:p>
        </w:tc>
        <w:tc>
          <w:tcPr>
            <w:tcW w:w="320" w:type="dxa"/>
            <w:tcBorders>
              <w:top w:val="nil"/>
              <w:left w:val="nil"/>
              <w:bottom w:val="nil"/>
              <w:right w:val="nil"/>
            </w:tcBorders>
            <w:shd w:val="clear" w:color="auto" w:fill="auto"/>
            <w:noWrap/>
            <w:vAlign w:val="bottom"/>
            <w:hideMark/>
          </w:tcPr>
          <w:p w14:paraId="28C1D12D" w14:textId="77777777" w:rsidR="005E0838" w:rsidRPr="00C06EDB" w:rsidRDefault="005E0838" w:rsidP="007C42EC">
            <w:pPr>
              <w:rPr>
                <w:rFonts w:ascii="Arial" w:hAnsi="Arial" w:cs="Arial"/>
                <w:b/>
                <w:bCs/>
                <w:color w:val="000000"/>
                <w:sz w:val="22"/>
                <w:szCs w:val="22"/>
              </w:rPr>
            </w:pPr>
          </w:p>
        </w:tc>
        <w:tc>
          <w:tcPr>
            <w:tcW w:w="3625" w:type="dxa"/>
            <w:tcBorders>
              <w:top w:val="single" w:sz="8" w:space="0" w:color="auto"/>
              <w:left w:val="single" w:sz="8" w:space="0" w:color="auto"/>
              <w:bottom w:val="single" w:sz="8" w:space="0" w:color="auto"/>
              <w:right w:val="single" w:sz="8" w:space="0" w:color="auto"/>
            </w:tcBorders>
            <w:shd w:val="clear" w:color="auto" w:fill="DDD9C3" w:themeFill="background2" w:themeFillShade="E6"/>
            <w:vAlign w:val="center"/>
            <w:hideMark/>
          </w:tcPr>
          <w:p w14:paraId="2E828124" w14:textId="77777777" w:rsidR="005E0838" w:rsidRPr="00C06EDB" w:rsidRDefault="005E0838" w:rsidP="007C42EC">
            <w:pPr>
              <w:rPr>
                <w:rFonts w:ascii="Arial" w:hAnsi="Arial" w:cs="Arial"/>
                <w:b/>
                <w:bCs/>
                <w:color w:val="000000"/>
                <w:sz w:val="22"/>
                <w:szCs w:val="22"/>
              </w:rPr>
            </w:pPr>
            <w:r w:rsidRPr="00C06EDB">
              <w:rPr>
                <w:rFonts w:ascii="Arial" w:hAnsi="Arial" w:cs="Arial"/>
                <w:b/>
                <w:bCs/>
                <w:color w:val="000000"/>
                <w:sz w:val="22"/>
                <w:szCs w:val="22"/>
              </w:rPr>
              <w:t>Race</w:t>
            </w:r>
          </w:p>
        </w:tc>
        <w:tc>
          <w:tcPr>
            <w:tcW w:w="1170" w:type="dxa"/>
            <w:tcBorders>
              <w:top w:val="single" w:sz="8" w:space="0" w:color="auto"/>
              <w:left w:val="nil"/>
              <w:bottom w:val="single" w:sz="8" w:space="0" w:color="auto"/>
              <w:right w:val="single" w:sz="8" w:space="0" w:color="auto"/>
            </w:tcBorders>
            <w:shd w:val="clear" w:color="auto" w:fill="DDD9C3" w:themeFill="background2" w:themeFillShade="E6"/>
            <w:vAlign w:val="center"/>
            <w:hideMark/>
          </w:tcPr>
          <w:p w14:paraId="5FA11B17" w14:textId="77777777" w:rsidR="005E0838" w:rsidRPr="00C06EDB" w:rsidRDefault="005E0838" w:rsidP="007C42EC">
            <w:pPr>
              <w:jc w:val="center"/>
              <w:rPr>
                <w:rFonts w:ascii="Arial" w:hAnsi="Arial" w:cs="Arial"/>
                <w:b/>
                <w:bCs/>
                <w:color w:val="000000"/>
                <w:sz w:val="22"/>
                <w:szCs w:val="22"/>
              </w:rPr>
            </w:pPr>
            <w:r w:rsidRPr="00C06EDB">
              <w:rPr>
                <w:rFonts w:ascii="Arial" w:hAnsi="Arial" w:cs="Arial"/>
                <w:b/>
                <w:bCs/>
                <w:color w:val="000000"/>
                <w:sz w:val="22"/>
                <w:szCs w:val="22"/>
              </w:rPr>
              <w:t>% of Total</w:t>
            </w:r>
          </w:p>
        </w:tc>
      </w:tr>
      <w:tr w:rsidR="005E0838" w:rsidRPr="00C06EDB" w14:paraId="648AFC27" w14:textId="77777777" w:rsidTr="007C42EC">
        <w:trPr>
          <w:trHeight w:val="315"/>
        </w:trPr>
        <w:tc>
          <w:tcPr>
            <w:tcW w:w="2140" w:type="dxa"/>
            <w:tcBorders>
              <w:top w:val="nil"/>
              <w:left w:val="single" w:sz="8" w:space="0" w:color="auto"/>
              <w:bottom w:val="single" w:sz="8" w:space="0" w:color="auto"/>
              <w:right w:val="single" w:sz="8" w:space="0" w:color="auto"/>
            </w:tcBorders>
            <w:shd w:val="clear" w:color="auto" w:fill="auto"/>
            <w:noWrap/>
            <w:vAlign w:val="center"/>
            <w:hideMark/>
          </w:tcPr>
          <w:p w14:paraId="0B3E6A98" w14:textId="77777777" w:rsidR="005E0838" w:rsidRPr="00C06EDB" w:rsidRDefault="005E0838" w:rsidP="007C42EC">
            <w:pPr>
              <w:rPr>
                <w:rFonts w:ascii="Arial" w:hAnsi="Arial" w:cs="Arial"/>
                <w:color w:val="000000"/>
                <w:sz w:val="22"/>
                <w:szCs w:val="22"/>
              </w:rPr>
            </w:pPr>
            <w:r w:rsidRPr="00C06EDB">
              <w:rPr>
                <w:rFonts w:ascii="Arial" w:hAnsi="Arial" w:cs="Arial"/>
                <w:color w:val="000000"/>
                <w:sz w:val="22"/>
                <w:szCs w:val="22"/>
              </w:rPr>
              <w:t>Infant (&lt;1 year old)</w:t>
            </w:r>
          </w:p>
        </w:tc>
        <w:tc>
          <w:tcPr>
            <w:tcW w:w="960" w:type="dxa"/>
            <w:tcBorders>
              <w:top w:val="nil"/>
              <w:left w:val="nil"/>
              <w:bottom w:val="single" w:sz="8" w:space="0" w:color="auto"/>
              <w:right w:val="single" w:sz="8" w:space="0" w:color="auto"/>
            </w:tcBorders>
            <w:shd w:val="clear" w:color="auto" w:fill="auto"/>
            <w:noWrap/>
            <w:vAlign w:val="center"/>
            <w:hideMark/>
          </w:tcPr>
          <w:p w14:paraId="748BECF5" w14:textId="08FA40D4" w:rsidR="005E0838" w:rsidRPr="00C06EDB" w:rsidRDefault="005E0838" w:rsidP="007C42EC">
            <w:pPr>
              <w:jc w:val="right"/>
              <w:rPr>
                <w:rFonts w:ascii="Arial" w:hAnsi="Arial" w:cs="Arial"/>
                <w:color w:val="000000"/>
                <w:sz w:val="22"/>
                <w:szCs w:val="22"/>
              </w:rPr>
            </w:pPr>
            <w:r w:rsidRPr="00C06EDB">
              <w:rPr>
                <w:rFonts w:ascii="Arial" w:hAnsi="Arial" w:cs="Arial"/>
                <w:color w:val="000000"/>
                <w:sz w:val="22"/>
                <w:szCs w:val="22"/>
              </w:rPr>
              <w:t>12.</w:t>
            </w:r>
            <w:r w:rsidR="00A645D0">
              <w:rPr>
                <w:rFonts w:ascii="Arial" w:hAnsi="Arial" w:cs="Arial"/>
                <w:color w:val="000000"/>
                <w:sz w:val="22"/>
                <w:szCs w:val="22"/>
              </w:rPr>
              <w:t>1</w:t>
            </w:r>
            <w:r w:rsidRPr="00C06EDB">
              <w:rPr>
                <w:rFonts w:ascii="Arial" w:hAnsi="Arial" w:cs="Arial"/>
                <w:color w:val="000000"/>
                <w:sz w:val="22"/>
                <w:szCs w:val="22"/>
              </w:rPr>
              <w:t>%</w:t>
            </w:r>
          </w:p>
        </w:tc>
        <w:tc>
          <w:tcPr>
            <w:tcW w:w="340" w:type="dxa"/>
            <w:tcBorders>
              <w:top w:val="nil"/>
              <w:left w:val="nil"/>
              <w:bottom w:val="nil"/>
              <w:right w:val="nil"/>
            </w:tcBorders>
            <w:shd w:val="clear" w:color="auto" w:fill="auto"/>
            <w:noWrap/>
            <w:vAlign w:val="bottom"/>
            <w:hideMark/>
          </w:tcPr>
          <w:p w14:paraId="370E657F" w14:textId="77777777" w:rsidR="005E0838" w:rsidRPr="00C06EDB" w:rsidRDefault="005E0838" w:rsidP="007C42EC">
            <w:pPr>
              <w:jc w:val="right"/>
              <w:rPr>
                <w:rFonts w:ascii="Arial" w:hAnsi="Arial" w:cs="Arial"/>
                <w:color w:val="000000"/>
                <w:sz w:val="22"/>
                <w:szCs w:val="22"/>
              </w:rPr>
            </w:pPr>
          </w:p>
        </w:tc>
        <w:tc>
          <w:tcPr>
            <w:tcW w:w="915" w:type="dxa"/>
            <w:tcBorders>
              <w:top w:val="nil"/>
              <w:left w:val="single" w:sz="8" w:space="0" w:color="auto"/>
              <w:bottom w:val="single" w:sz="8" w:space="0" w:color="auto"/>
              <w:right w:val="single" w:sz="8" w:space="0" w:color="auto"/>
            </w:tcBorders>
            <w:shd w:val="clear" w:color="auto" w:fill="auto"/>
            <w:noWrap/>
            <w:vAlign w:val="center"/>
            <w:hideMark/>
          </w:tcPr>
          <w:p w14:paraId="3E588198" w14:textId="77777777" w:rsidR="005E0838" w:rsidRPr="00C06EDB" w:rsidRDefault="005E0838" w:rsidP="007C42EC">
            <w:pPr>
              <w:rPr>
                <w:rFonts w:ascii="Arial" w:hAnsi="Arial" w:cs="Arial"/>
                <w:color w:val="000000"/>
                <w:sz w:val="22"/>
                <w:szCs w:val="22"/>
              </w:rPr>
            </w:pPr>
            <w:r w:rsidRPr="00C06EDB">
              <w:rPr>
                <w:rFonts w:ascii="Arial" w:hAnsi="Arial" w:cs="Arial"/>
                <w:color w:val="000000"/>
                <w:sz w:val="22"/>
                <w:szCs w:val="22"/>
              </w:rPr>
              <w:t>F</w:t>
            </w:r>
          </w:p>
        </w:tc>
        <w:tc>
          <w:tcPr>
            <w:tcW w:w="960" w:type="dxa"/>
            <w:tcBorders>
              <w:top w:val="nil"/>
              <w:left w:val="nil"/>
              <w:bottom w:val="single" w:sz="8" w:space="0" w:color="auto"/>
              <w:right w:val="single" w:sz="8" w:space="0" w:color="auto"/>
            </w:tcBorders>
            <w:shd w:val="clear" w:color="auto" w:fill="auto"/>
            <w:noWrap/>
            <w:vAlign w:val="center"/>
            <w:hideMark/>
          </w:tcPr>
          <w:p w14:paraId="6470707E" w14:textId="26E1C5D9" w:rsidR="005E0838" w:rsidRPr="00C06EDB" w:rsidRDefault="005E0838" w:rsidP="007C42EC">
            <w:pPr>
              <w:jc w:val="right"/>
              <w:rPr>
                <w:rFonts w:ascii="Arial" w:hAnsi="Arial" w:cs="Arial"/>
                <w:color w:val="000000"/>
                <w:sz w:val="22"/>
                <w:szCs w:val="22"/>
              </w:rPr>
            </w:pPr>
            <w:r w:rsidRPr="00C06EDB">
              <w:rPr>
                <w:rFonts w:ascii="Arial" w:hAnsi="Arial" w:cs="Arial"/>
                <w:color w:val="000000"/>
                <w:sz w:val="22"/>
                <w:szCs w:val="22"/>
              </w:rPr>
              <w:t>49.</w:t>
            </w:r>
            <w:r w:rsidR="00A645D0">
              <w:rPr>
                <w:rFonts w:ascii="Arial" w:hAnsi="Arial" w:cs="Arial"/>
                <w:color w:val="000000"/>
                <w:sz w:val="22"/>
                <w:szCs w:val="22"/>
              </w:rPr>
              <w:t>8</w:t>
            </w:r>
            <w:r w:rsidRPr="00C06EDB">
              <w:rPr>
                <w:rFonts w:ascii="Arial" w:hAnsi="Arial" w:cs="Arial"/>
                <w:color w:val="000000"/>
                <w:sz w:val="22"/>
                <w:szCs w:val="22"/>
              </w:rPr>
              <w:t>%</w:t>
            </w:r>
          </w:p>
        </w:tc>
        <w:tc>
          <w:tcPr>
            <w:tcW w:w="320" w:type="dxa"/>
            <w:tcBorders>
              <w:top w:val="nil"/>
              <w:left w:val="nil"/>
              <w:bottom w:val="nil"/>
              <w:right w:val="nil"/>
            </w:tcBorders>
            <w:shd w:val="clear" w:color="auto" w:fill="auto"/>
            <w:noWrap/>
            <w:vAlign w:val="bottom"/>
            <w:hideMark/>
          </w:tcPr>
          <w:p w14:paraId="48988E87" w14:textId="77777777" w:rsidR="005E0838" w:rsidRPr="00C06EDB" w:rsidRDefault="005E0838" w:rsidP="007C42EC">
            <w:pPr>
              <w:jc w:val="right"/>
              <w:rPr>
                <w:rFonts w:ascii="Arial" w:hAnsi="Arial" w:cs="Arial"/>
                <w:color w:val="000000"/>
                <w:sz w:val="22"/>
                <w:szCs w:val="22"/>
              </w:rPr>
            </w:pPr>
          </w:p>
        </w:tc>
        <w:tc>
          <w:tcPr>
            <w:tcW w:w="3625" w:type="dxa"/>
            <w:tcBorders>
              <w:top w:val="nil"/>
              <w:left w:val="single" w:sz="8" w:space="0" w:color="auto"/>
              <w:bottom w:val="single" w:sz="8" w:space="0" w:color="auto"/>
              <w:right w:val="single" w:sz="8" w:space="0" w:color="auto"/>
            </w:tcBorders>
            <w:shd w:val="clear" w:color="auto" w:fill="auto"/>
            <w:noWrap/>
            <w:vAlign w:val="center"/>
            <w:hideMark/>
          </w:tcPr>
          <w:p w14:paraId="1FA0BB72" w14:textId="77777777" w:rsidR="005E0838" w:rsidRPr="00C06EDB" w:rsidRDefault="005E0838" w:rsidP="007C42EC">
            <w:pPr>
              <w:rPr>
                <w:rFonts w:ascii="Arial" w:hAnsi="Arial" w:cs="Arial"/>
                <w:color w:val="333333"/>
                <w:sz w:val="22"/>
                <w:szCs w:val="22"/>
              </w:rPr>
            </w:pPr>
            <w:r w:rsidRPr="00C06EDB">
              <w:rPr>
                <w:rFonts w:ascii="Arial" w:hAnsi="Arial" w:cs="Arial"/>
                <w:color w:val="333333"/>
                <w:sz w:val="22"/>
                <w:szCs w:val="22"/>
              </w:rPr>
              <w:t>American Indian or Alaska Native</w:t>
            </w:r>
          </w:p>
        </w:tc>
        <w:tc>
          <w:tcPr>
            <w:tcW w:w="1170" w:type="dxa"/>
            <w:tcBorders>
              <w:top w:val="nil"/>
              <w:left w:val="nil"/>
              <w:bottom w:val="single" w:sz="8" w:space="0" w:color="auto"/>
              <w:right w:val="single" w:sz="8" w:space="0" w:color="auto"/>
            </w:tcBorders>
            <w:shd w:val="clear" w:color="auto" w:fill="auto"/>
            <w:noWrap/>
            <w:vAlign w:val="center"/>
            <w:hideMark/>
          </w:tcPr>
          <w:p w14:paraId="7443B531" w14:textId="77777777" w:rsidR="005E0838" w:rsidRPr="00C06EDB" w:rsidRDefault="005E0838" w:rsidP="007C42EC">
            <w:pPr>
              <w:jc w:val="right"/>
              <w:rPr>
                <w:rFonts w:ascii="Arial" w:hAnsi="Arial" w:cs="Arial"/>
                <w:color w:val="333333"/>
                <w:sz w:val="22"/>
                <w:szCs w:val="22"/>
              </w:rPr>
            </w:pPr>
            <w:r w:rsidRPr="00C06EDB">
              <w:rPr>
                <w:rFonts w:ascii="Arial" w:hAnsi="Arial" w:cs="Arial"/>
                <w:color w:val="333333"/>
                <w:sz w:val="22"/>
                <w:szCs w:val="22"/>
              </w:rPr>
              <w:t>0.3%</w:t>
            </w:r>
          </w:p>
        </w:tc>
      </w:tr>
      <w:tr w:rsidR="005E0838" w:rsidRPr="00C06EDB" w14:paraId="3024BAEE" w14:textId="77777777" w:rsidTr="007C42EC">
        <w:trPr>
          <w:trHeight w:val="315"/>
        </w:trPr>
        <w:tc>
          <w:tcPr>
            <w:tcW w:w="2140" w:type="dxa"/>
            <w:tcBorders>
              <w:top w:val="nil"/>
              <w:left w:val="single" w:sz="8" w:space="0" w:color="auto"/>
              <w:bottom w:val="single" w:sz="8" w:space="0" w:color="auto"/>
              <w:right w:val="single" w:sz="8" w:space="0" w:color="auto"/>
            </w:tcBorders>
            <w:shd w:val="clear" w:color="auto" w:fill="auto"/>
            <w:noWrap/>
            <w:vAlign w:val="center"/>
            <w:hideMark/>
          </w:tcPr>
          <w:p w14:paraId="42F85EFA" w14:textId="77777777" w:rsidR="005E0838" w:rsidRPr="00C06EDB" w:rsidRDefault="005E0838" w:rsidP="007C42EC">
            <w:pPr>
              <w:rPr>
                <w:rFonts w:ascii="Arial" w:hAnsi="Arial" w:cs="Arial"/>
                <w:color w:val="000000"/>
                <w:sz w:val="22"/>
                <w:szCs w:val="22"/>
              </w:rPr>
            </w:pPr>
            <w:r w:rsidRPr="00C06EDB">
              <w:rPr>
                <w:rFonts w:ascii="Arial" w:hAnsi="Arial" w:cs="Arial"/>
                <w:color w:val="000000"/>
                <w:sz w:val="22"/>
                <w:szCs w:val="22"/>
              </w:rPr>
              <w:t>1-4 y</w:t>
            </w:r>
          </w:p>
        </w:tc>
        <w:tc>
          <w:tcPr>
            <w:tcW w:w="960" w:type="dxa"/>
            <w:tcBorders>
              <w:top w:val="nil"/>
              <w:left w:val="nil"/>
              <w:bottom w:val="single" w:sz="8" w:space="0" w:color="auto"/>
              <w:right w:val="single" w:sz="8" w:space="0" w:color="auto"/>
            </w:tcBorders>
            <w:shd w:val="clear" w:color="auto" w:fill="auto"/>
            <w:noWrap/>
            <w:vAlign w:val="center"/>
            <w:hideMark/>
          </w:tcPr>
          <w:p w14:paraId="4D606B7F" w14:textId="2F8245D5" w:rsidR="005E0838" w:rsidRPr="00C06EDB" w:rsidRDefault="00A645D0" w:rsidP="007C42EC">
            <w:pPr>
              <w:jc w:val="right"/>
              <w:rPr>
                <w:rFonts w:ascii="Arial" w:hAnsi="Arial" w:cs="Arial"/>
                <w:color w:val="000000"/>
                <w:sz w:val="22"/>
                <w:szCs w:val="22"/>
              </w:rPr>
            </w:pPr>
            <w:r>
              <w:rPr>
                <w:rFonts w:ascii="Arial" w:hAnsi="Arial" w:cs="Arial"/>
                <w:color w:val="000000"/>
                <w:sz w:val="22"/>
                <w:szCs w:val="22"/>
              </w:rPr>
              <w:t>23.8</w:t>
            </w:r>
            <w:r w:rsidR="005E0838" w:rsidRPr="00C06EDB">
              <w:rPr>
                <w:rFonts w:ascii="Arial" w:hAnsi="Arial" w:cs="Arial"/>
                <w:color w:val="000000"/>
                <w:sz w:val="22"/>
                <w:szCs w:val="22"/>
              </w:rPr>
              <w:t>%</w:t>
            </w:r>
          </w:p>
        </w:tc>
        <w:tc>
          <w:tcPr>
            <w:tcW w:w="340" w:type="dxa"/>
            <w:tcBorders>
              <w:top w:val="nil"/>
              <w:left w:val="nil"/>
              <w:bottom w:val="nil"/>
              <w:right w:val="nil"/>
            </w:tcBorders>
            <w:shd w:val="clear" w:color="auto" w:fill="auto"/>
            <w:noWrap/>
            <w:vAlign w:val="bottom"/>
            <w:hideMark/>
          </w:tcPr>
          <w:p w14:paraId="0708B657" w14:textId="77777777" w:rsidR="005E0838" w:rsidRPr="00C06EDB" w:rsidRDefault="005E0838" w:rsidP="007C42EC">
            <w:pPr>
              <w:jc w:val="right"/>
              <w:rPr>
                <w:rFonts w:ascii="Arial" w:hAnsi="Arial" w:cs="Arial"/>
                <w:color w:val="000000"/>
                <w:sz w:val="22"/>
                <w:szCs w:val="22"/>
              </w:rPr>
            </w:pPr>
          </w:p>
        </w:tc>
        <w:tc>
          <w:tcPr>
            <w:tcW w:w="915" w:type="dxa"/>
            <w:tcBorders>
              <w:top w:val="nil"/>
              <w:left w:val="single" w:sz="8" w:space="0" w:color="auto"/>
              <w:bottom w:val="single" w:sz="8" w:space="0" w:color="auto"/>
              <w:right w:val="single" w:sz="8" w:space="0" w:color="auto"/>
            </w:tcBorders>
            <w:shd w:val="clear" w:color="auto" w:fill="auto"/>
            <w:noWrap/>
            <w:vAlign w:val="center"/>
            <w:hideMark/>
          </w:tcPr>
          <w:p w14:paraId="7447DADB" w14:textId="77777777" w:rsidR="005E0838" w:rsidRPr="00C06EDB" w:rsidRDefault="005E0838" w:rsidP="007C42EC">
            <w:pPr>
              <w:rPr>
                <w:rFonts w:ascii="Arial" w:hAnsi="Arial" w:cs="Arial"/>
                <w:color w:val="000000"/>
                <w:sz w:val="22"/>
                <w:szCs w:val="22"/>
              </w:rPr>
            </w:pPr>
            <w:r w:rsidRPr="00C06EDB">
              <w:rPr>
                <w:rFonts w:ascii="Arial" w:hAnsi="Arial" w:cs="Arial"/>
                <w:color w:val="000000"/>
                <w:sz w:val="22"/>
                <w:szCs w:val="22"/>
              </w:rPr>
              <w:t>M</w:t>
            </w:r>
          </w:p>
        </w:tc>
        <w:tc>
          <w:tcPr>
            <w:tcW w:w="960" w:type="dxa"/>
            <w:tcBorders>
              <w:top w:val="nil"/>
              <w:left w:val="nil"/>
              <w:bottom w:val="single" w:sz="8" w:space="0" w:color="auto"/>
              <w:right w:val="single" w:sz="8" w:space="0" w:color="auto"/>
            </w:tcBorders>
            <w:shd w:val="clear" w:color="auto" w:fill="auto"/>
            <w:noWrap/>
            <w:vAlign w:val="center"/>
            <w:hideMark/>
          </w:tcPr>
          <w:p w14:paraId="03A3E6B1" w14:textId="64C0C862" w:rsidR="005E0838" w:rsidRPr="00C06EDB" w:rsidRDefault="005E0838" w:rsidP="007C42EC">
            <w:pPr>
              <w:jc w:val="right"/>
              <w:rPr>
                <w:rFonts w:ascii="Arial" w:hAnsi="Arial" w:cs="Arial"/>
                <w:color w:val="000000"/>
                <w:sz w:val="22"/>
                <w:szCs w:val="22"/>
              </w:rPr>
            </w:pPr>
            <w:r w:rsidRPr="00C06EDB">
              <w:rPr>
                <w:rFonts w:ascii="Arial" w:hAnsi="Arial" w:cs="Arial"/>
                <w:color w:val="000000"/>
                <w:sz w:val="22"/>
                <w:szCs w:val="22"/>
              </w:rPr>
              <w:t>50.</w:t>
            </w:r>
            <w:r w:rsidR="00A645D0">
              <w:rPr>
                <w:rFonts w:ascii="Arial" w:hAnsi="Arial" w:cs="Arial"/>
                <w:color w:val="000000"/>
                <w:sz w:val="22"/>
                <w:szCs w:val="22"/>
              </w:rPr>
              <w:t>1</w:t>
            </w:r>
            <w:r w:rsidRPr="00C06EDB">
              <w:rPr>
                <w:rFonts w:ascii="Arial" w:hAnsi="Arial" w:cs="Arial"/>
                <w:color w:val="000000"/>
                <w:sz w:val="22"/>
                <w:szCs w:val="22"/>
              </w:rPr>
              <w:t>%</w:t>
            </w:r>
          </w:p>
        </w:tc>
        <w:tc>
          <w:tcPr>
            <w:tcW w:w="320" w:type="dxa"/>
            <w:tcBorders>
              <w:top w:val="nil"/>
              <w:left w:val="nil"/>
              <w:bottom w:val="nil"/>
              <w:right w:val="nil"/>
            </w:tcBorders>
            <w:shd w:val="clear" w:color="auto" w:fill="auto"/>
            <w:noWrap/>
            <w:vAlign w:val="bottom"/>
            <w:hideMark/>
          </w:tcPr>
          <w:p w14:paraId="41D5D3C4" w14:textId="77777777" w:rsidR="005E0838" w:rsidRPr="00C06EDB" w:rsidRDefault="005E0838" w:rsidP="007C42EC">
            <w:pPr>
              <w:jc w:val="right"/>
              <w:rPr>
                <w:rFonts w:ascii="Arial" w:hAnsi="Arial" w:cs="Arial"/>
                <w:color w:val="000000"/>
                <w:sz w:val="22"/>
                <w:szCs w:val="22"/>
              </w:rPr>
            </w:pPr>
          </w:p>
        </w:tc>
        <w:tc>
          <w:tcPr>
            <w:tcW w:w="3625" w:type="dxa"/>
            <w:tcBorders>
              <w:top w:val="nil"/>
              <w:left w:val="single" w:sz="8" w:space="0" w:color="auto"/>
              <w:bottom w:val="single" w:sz="8" w:space="0" w:color="auto"/>
              <w:right w:val="single" w:sz="8" w:space="0" w:color="auto"/>
            </w:tcBorders>
            <w:shd w:val="clear" w:color="auto" w:fill="auto"/>
            <w:noWrap/>
            <w:vAlign w:val="center"/>
            <w:hideMark/>
          </w:tcPr>
          <w:p w14:paraId="4329DA46" w14:textId="77777777" w:rsidR="005E0838" w:rsidRPr="00C06EDB" w:rsidRDefault="005E0838" w:rsidP="007C42EC">
            <w:pPr>
              <w:rPr>
                <w:rFonts w:ascii="Arial" w:hAnsi="Arial" w:cs="Arial"/>
                <w:color w:val="333333"/>
                <w:sz w:val="22"/>
                <w:szCs w:val="22"/>
              </w:rPr>
            </w:pPr>
            <w:r w:rsidRPr="00C06EDB">
              <w:rPr>
                <w:rFonts w:ascii="Arial" w:hAnsi="Arial" w:cs="Arial"/>
                <w:color w:val="333333"/>
                <w:sz w:val="22"/>
                <w:szCs w:val="22"/>
              </w:rPr>
              <w:t>Asian</w:t>
            </w:r>
          </w:p>
        </w:tc>
        <w:tc>
          <w:tcPr>
            <w:tcW w:w="1170" w:type="dxa"/>
            <w:tcBorders>
              <w:top w:val="nil"/>
              <w:left w:val="nil"/>
              <w:bottom w:val="single" w:sz="8" w:space="0" w:color="auto"/>
              <w:right w:val="single" w:sz="8" w:space="0" w:color="auto"/>
            </w:tcBorders>
            <w:shd w:val="clear" w:color="auto" w:fill="auto"/>
            <w:noWrap/>
            <w:vAlign w:val="center"/>
            <w:hideMark/>
          </w:tcPr>
          <w:p w14:paraId="37A781A0" w14:textId="77777777" w:rsidR="005E0838" w:rsidRPr="00C06EDB" w:rsidRDefault="005E0838" w:rsidP="007C42EC">
            <w:pPr>
              <w:jc w:val="right"/>
              <w:rPr>
                <w:rFonts w:ascii="Arial" w:hAnsi="Arial" w:cs="Arial"/>
                <w:color w:val="333333"/>
                <w:sz w:val="22"/>
                <w:szCs w:val="22"/>
              </w:rPr>
            </w:pPr>
            <w:r w:rsidRPr="00C06EDB">
              <w:rPr>
                <w:rFonts w:ascii="Arial" w:hAnsi="Arial" w:cs="Arial"/>
                <w:color w:val="333333"/>
                <w:sz w:val="22"/>
                <w:szCs w:val="22"/>
              </w:rPr>
              <w:t>2.1%</w:t>
            </w:r>
          </w:p>
        </w:tc>
      </w:tr>
      <w:tr w:rsidR="005E0838" w:rsidRPr="00C06EDB" w14:paraId="49B6744B" w14:textId="77777777" w:rsidTr="007C42EC">
        <w:trPr>
          <w:trHeight w:val="315"/>
        </w:trPr>
        <w:tc>
          <w:tcPr>
            <w:tcW w:w="2140" w:type="dxa"/>
            <w:tcBorders>
              <w:top w:val="nil"/>
              <w:left w:val="single" w:sz="8" w:space="0" w:color="auto"/>
              <w:bottom w:val="single" w:sz="8" w:space="0" w:color="auto"/>
              <w:right w:val="single" w:sz="8" w:space="0" w:color="auto"/>
            </w:tcBorders>
            <w:shd w:val="clear" w:color="auto" w:fill="auto"/>
            <w:noWrap/>
            <w:vAlign w:val="center"/>
            <w:hideMark/>
          </w:tcPr>
          <w:p w14:paraId="0C241435" w14:textId="77777777" w:rsidR="005E0838" w:rsidRPr="00C06EDB" w:rsidRDefault="005E0838" w:rsidP="007C42EC">
            <w:pPr>
              <w:rPr>
                <w:rFonts w:ascii="Arial" w:hAnsi="Arial" w:cs="Arial"/>
                <w:color w:val="000000"/>
                <w:sz w:val="22"/>
                <w:szCs w:val="22"/>
              </w:rPr>
            </w:pPr>
            <w:r w:rsidRPr="00C06EDB">
              <w:rPr>
                <w:rFonts w:ascii="Arial" w:hAnsi="Arial" w:cs="Arial"/>
                <w:color w:val="000000"/>
                <w:sz w:val="22"/>
                <w:szCs w:val="22"/>
              </w:rPr>
              <w:t>5-9 y</w:t>
            </w:r>
          </w:p>
        </w:tc>
        <w:tc>
          <w:tcPr>
            <w:tcW w:w="960" w:type="dxa"/>
            <w:tcBorders>
              <w:top w:val="nil"/>
              <w:left w:val="nil"/>
              <w:bottom w:val="single" w:sz="8" w:space="0" w:color="auto"/>
              <w:right w:val="single" w:sz="8" w:space="0" w:color="auto"/>
            </w:tcBorders>
            <w:shd w:val="clear" w:color="auto" w:fill="auto"/>
            <w:noWrap/>
            <w:vAlign w:val="center"/>
            <w:hideMark/>
          </w:tcPr>
          <w:p w14:paraId="5F27DD44" w14:textId="13D5DF45" w:rsidR="005E0838" w:rsidRPr="00C06EDB" w:rsidRDefault="005E0838" w:rsidP="007C42EC">
            <w:pPr>
              <w:jc w:val="right"/>
              <w:rPr>
                <w:rFonts w:ascii="Arial" w:hAnsi="Arial" w:cs="Arial"/>
                <w:color w:val="000000"/>
                <w:sz w:val="22"/>
                <w:szCs w:val="22"/>
              </w:rPr>
            </w:pPr>
            <w:r w:rsidRPr="00C06EDB">
              <w:rPr>
                <w:rFonts w:ascii="Arial" w:hAnsi="Arial" w:cs="Arial"/>
                <w:color w:val="000000"/>
                <w:sz w:val="22"/>
                <w:szCs w:val="22"/>
              </w:rPr>
              <w:t>22.</w:t>
            </w:r>
            <w:r w:rsidR="00A645D0">
              <w:rPr>
                <w:rFonts w:ascii="Arial" w:hAnsi="Arial" w:cs="Arial"/>
                <w:color w:val="000000"/>
                <w:sz w:val="22"/>
                <w:szCs w:val="22"/>
              </w:rPr>
              <w:t>3</w:t>
            </w:r>
            <w:r w:rsidRPr="00C06EDB">
              <w:rPr>
                <w:rFonts w:ascii="Arial" w:hAnsi="Arial" w:cs="Arial"/>
                <w:color w:val="000000"/>
                <w:sz w:val="22"/>
                <w:szCs w:val="22"/>
              </w:rPr>
              <w:t>%</w:t>
            </w:r>
          </w:p>
        </w:tc>
        <w:tc>
          <w:tcPr>
            <w:tcW w:w="340" w:type="dxa"/>
            <w:tcBorders>
              <w:top w:val="nil"/>
              <w:left w:val="nil"/>
              <w:bottom w:val="nil"/>
              <w:right w:val="nil"/>
            </w:tcBorders>
            <w:shd w:val="clear" w:color="auto" w:fill="auto"/>
            <w:noWrap/>
            <w:vAlign w:val="bottom"/>
            <w:hideMark/>
          </w:tcPr>
          <w:p w14:paraId="17605365" w14:textId="77777777" w:rsidR="005E0838" w:rsidRPr="00C06EDB" w:rsidRDefault="005E0838" w:rsidP="007C42EC">
            <w:pPr>
              <w:jc w:val="right"/>
              <w:rPr>
                <w:rFonts w:ascii="Arial" w:hAnsi="Arial" w:cs="Arial"/>
                <w:color w:val="000000"/>
                <w:sz w:val="22"/>
                <w:szCs w:val="22"/>
              </w:rPr>
            </w:pPr>
          </w:p>
        </w:tc>
        <w:tc>
          <w:tcPr>
            <w:tcW w:w="915" w:type="dxa"/>
            <w:tcBorders>
              <w:top w:val="nil"/>
              <w:left w:val="single" w:sz="8" w:space="0" w:color="auto"/>
              <w:bottom w:val="single" w:sz="8" w:space="0" w:color="auto"/>
              <w:right w:val="single" w:sz="8" w:space="0" w:color="auto"/>
            </w:tcBorders>
            <w:shd w:val="clear" w:color="auto" w:fill="auto"/>
            <w:noWrap/>
            <w:vAlign w:val="center"/>
            <w:hideMark/>
          </w:tcPr>
          <w:p w14:paraId="656C0D6D" w14:textId="77777777" w:rsidR="005E0838" w:rsidRPr="00C06EDB" w:rsidRDefault="005E0838" w:rsidP="007C42EC">
            <w:pPr>
              <w:rPr>
                <w:rFonts w:ascii="Arial" w:hAnsi="Arial" w:cs="Arial"/>
                <w:color w:val="000000"/>
                <w:sz w:val="22"/>
                <w:szCs w:val="22"/>
              </w:rPr>
            </w:pPr>
            <w:r w:rsidRPr="00C06EDB">
              <w:rPr>
                <w:rFonts w:ascii="Arial" w:hAnsi="Arial" w:cs="Arial"/>
                <w:color w:val="000000"/>
                <w:sz w:val="22"/>
                <w:szCs w:val="22"/>
              </w:rPr>
              <w:t>U</w:t>
            </w:r>
          </w:p>
        </w:tc>
        <w:tc>
          <w:tcPr>
            <w:tcW w:w="960" w:type="dxa"/>
            <w:tcBorders>
              <w:top w:val="nil"/>
              <w:left w:val="nil"/>
              <w:bottom w:val="single" w:sz="8" w:space="0" w:color="auto"/>
              <w:right w:val="single" w:sz="8" w:space="0" w:color="auto"/>
            </w:tcBorders>
            <w:shd w:val="clear" w:color="auto" w:fill="auto"/>
            <w:noWrap/>
            <w:vAlign w:val="center"/>
            <w:hideMark/>
          </w:tcPr>
          <w:p w14:paraId="7D4BF03A" w14:textId="77777777" w:rsidR="005E0838" w:rsidRPr="00C06EDB" w:rsidRDefault="005E0838" w:rsidP="007C42EC">
            <w:pPr>
              <w:jc w:val="right"/>
              <w:rPr>
                <w:rFonts w:ascii="Arial" w:hAnsi="Arial" w:cs="Arial"/>
                <w:color w:val="000000"/>
                <w:sz w:val="22"/>
                <w:szCs w:val="22"/>
              </w:rPr>
            </w:pPr>
            <w:r w:rsidRPr="00C06EDB">
              <w:rPr>
                <w:rFonts w:ascii="Arial" w:hAnsi="Arial" w:cs="Arial"/>
                <w:color w:val="000000"/>
                <w:sz w:val="22"/>
                <w:szCs w:val="22"/>
              </w:rPr>
              <w:t>0.1%</w:t>
            </w:r>
          </w:p>
        </w:tc>
        <w:tc>
          <w:tcPr>
            <w:tcW w:w="320" w:type="dxa"/>
            <w:tcBorders>
              <w:top w:val="nil"/>
              <w:left w:val="nil"/>
              <w:bottom w:val="nil"/>
              <w:right w:val="nil"/>
            </w:tcBorders>
            <w:shd w:val="clear" w:color="auto" w:fill="auto"/>
            <w:noWrap/>
            <w:vAlign w:val="bottom"/>
            <w:hideMark/>
          </w:tcPr>
          <w:p w14:paraId="654BD4E8" w14:textId="77777777" w:rsidR="005E0838" w:rsidRPr="00C06EDB" w:rsidRDefault="005E0838" w:rsidP="007C42EC">
            <w:pPr>
              <w:jc w:val="right"/>
              <w:rPr>
                <w:rFonts w:ascii="Arial" w:hAnsi="Arial" w:cs="Arial"/>
                <w:color w:val="000000"/>
                <w:sz w:val="22"/>
                <w:szCs w:val="22"/>
              </w:rPr>
            </w:pPr>
          </w:p>
        </w:tc>
        <w:tc>
          <w:tcPr>
            <w:tcW w:w="3625" w:type="dxa"/>
            <w:tcBorders>
              <w:top w:val="nil"/>
              <w:left w:val="single" w:sz="8" w:space="0" w:color="auto"/>
              <w:bottom w:val="single" w:sz="8" w:space="0" w:color="auto"/>
              <w:right w:val="single" w:sz="8" w:space="0" w:color="auto"/>
            </w:tcBorders>
            <w:shd w:val="clear" w:color="auto" w:fill="auto"/>
            <w:noWrap/>
            <w:vAlign w:val="center"/>
            <w:hideMark/>
          </w:tcPr>
          <w:p w14:paraId="2933C198" w14:textId="77777777" w:rsidR="005E0838" w:rsidRPr="00C06EDB" w:rsidRDefault="005E0838" w:rsidP="007C42EC">
            <w:pPr>
              <w:rPr>
                <w:rFonts w:ascii="Arial" w:hAnsi="Arial" w:cs="Arial"/>
                <w:color w:val="333333"/>
                <w:sz w:val="22"/>
                <w:szCs w:val="22"/>
              </w:rPr>
            </w:pPr>
            <w:r w:rsidRPr="00C06EDB">
              <w:rPr>
                <w:rFonts w:ascii="Arial" w:hAnsi="Arial" w:cs="Arial"/>
                <w:color w:val="333333"/>
                <w:sz w:val="22"/>
                <w:szCs w:val="22"/>
              </w:rPr>
              <w:t>Black or African American</w:t>
            </w:r>
          </w:p>
        </w:tc>
        <w:tc>
          <w:tcPr>
            <w:tcW w:w="1170" w:type="dxa"/>
            <w:tcBorders>
              <w:top w:val="nil"/>
              <w:left w:val="nil"/>
              <w:bottom w:val="single" w:sz="8" w:space="0" w:color="auto"/>
              <w:right w:val="single" w:sz="8" w:space="0" w:color="auto"/>
            </w:tcBorders>
            <w:shd w:val="clear" w:color="auto" w:fill="auto"/>
            <w:noWrap/>
            <w:vAlign w:val="center"/>
            <w:hideMark/>
          </w:tcPr>
          <w:p w14:paraId="41969A9E" w14:textId="33007C23" w:rsidR="005E0838" w:rsidRPr="00C06EDB" w:rsidRDefault="005E0838" w:rsidP="007C42EC">
            <w:pPr>
              <w:jc w:val="right"/>
              <w:rPr>
                <w:rFonts w:ascii="Arial" w:hAnsi="Arial" w:cs="Arial"/>
                <w:color w:val="333333"/>
                <w:sz w:val="22"/>
                <w:szCs w:val="22"/>
              </w:rPr>
            </w:pPr>
            <w:r w:rsidRPr="00C06EDB">
              <w:rPr>
                <w:rFonts w:ascii="Arial" w:hAnsi="Arial" w:cs="Arial"/>
                <w:color w:val="333333"/>
                <w:sz w:val="22"/>
                <w:szCs w:val="22"/>
              </w:rPr>
              <w:t>14.</w:t>
            </w:r>
            <w:r w:rsidR="00A645D0">
              <w:rPr>
                <w:rFonts w:ascii="Arial" w:hAnsi="Arial" w:cs="Arial"/>
                <w:color w:val="333333"/>
                <w:sz w:val="22"/>
                <w:szCs w:val="22"/>
              </w:rPr>
              <w:t>6</w:t>
            </w:r>
            <w:r w:rsidRPr="00C06EDB">
              <w:rPr>
                <w:rFonts w:ascii="Arial" w:hAnsi="Arial" w:cs="Arial"/>
                <w:color w:val="333333"/>
                <w:sz w:val="22"/>
                <w:szCs w:val="22"/>
              </w:rPr>
              <w:t>%</w:t>
            </w:r>
          </w:p>
        </w:tc>
      </w:tr>
      <w:tr w:rsidR="005E0838" w:rsidRPr="00C06EDB" w14:paraId="376DDBAD" w14:textId="77777777" w:rsidTr="007C42EC">
        <w:trPr>
          <w:trHeight w:val="315"/>
        </w:trPr>
        <w:tc>
          <w:tcPr>
            <w:tcW w:w="2140" w:type="dxa"/>
            <w:tcBorders>
              <w:top w:val="nil"/>
              <w:left w:val="single" w:sz="8" w:space="0" w:color="auto"/>
              <w:bottom w:val="single" w:sz="8" w:space="0" w:color="auto"/>
              <w:right w:val="single" w:sz="8" w:space="0" w:color="auto"/>
            </w:tcBorders>
            <w:shd w:val="clear" w:color="auto" w:fill="auto"/>
            <w:noWrap/>
            <w:vAlign w:val="center"/>
            <w:hideMark/>
          </w:tcPr>
          <w:p w14:paraId="7798335D" w14:textId="77777777" w:rsidR="005E0838" w:rsidRPr="00C06EDB" w:rsidRDefault="005E0838" w:rsidP="007C42EC">
            <w:pPr>
              <w:rPr>
                <w:rFonts w:ascii="Arial" w:hAnsi="Arial" w:cs="Arial"/>
                <w:color w:val="000000"/>
                <w:sz w:val="22"/>
                <w:szCs w:val="22"/>
              </w:rPr>
            </w:pPr>
            <w:r w:rsidRPr="00C06EDB">
              <w:rPr>
                <w:rFonts w:ascii="Arial" w:hAnsi="Arial" w:cs="Arial"/>
                <w:color w:val="000000"/>
                <w:sz w:val="22"/>
                <w:szCs w:val="22"/>
              </w:rPr>
              <w:t>10-14 y</w:t>
            </w:r>
          </w:p>
        </w:tc>
        <w:tc>
          <w:tcPr>
            <w:tcW w:w="960" w:type="dxa"/>
            <w:tcBorders>
              <w:top w:val="nil"/>
              <w:left w:val="nil"/>
              <w:bottom w:val="single" w:sz="8" w:space="0" w:color="auto"/>
              <w:right w:val="single" w:sz="8" w:space="0" w:color="auto"/>
            </w:tcBorders>
            <w:shd w:val="clear" w:color="auto" w:fill="auto"/>
            <w:noWrap/>
            <w:vAlign w:val="center"/>
            <w:hideMark/>
          </w:tcPr>
          <w:p w14:paraId="24F779FD" w14:textId="0E752648" w:rsidR="005E0838" w:rsidRPr="00C06EDB" w:rsidRDefault="00A645D0" w:rsidP="007C42EC">
            <w:pPr>
              <w:jc w:val="right"/>
              <w:rPr>
                <w:rFonts w:ascii="Arial" w:hAnsi="Arial" w:cs="Arial"/>
                <w:color w:val="000000"/>
                <w:sz w:val="22"/>
                <w:szCs w:val="22"/>
              </w:rPr>
            </w:pPr>
            <w:r>
              <w:rPr>
                <w:rFonts w:ascii="Arial" w:hAnsi="Arial" w:cs="Arial"/>
                <w:color w:val="000000"/>
                <w:sz w:val="22"/>
                <w:szCs w:val="22"/>
              </w:rPr>
              <w:t>20.8</w:t>
            </w:r>
            <w:r w:rsidR="005E0838" w:rsidRPr="00C06EDB">
              <w:rPr>
                <w:rFonts w:ascii="Arial" w:hAnsi="Arial" w:cs="Arial"/>
                <w:color w:val="000000"/>
                <w:sz w:val="22"/>
                <w:szCs w:val="22"/>
              </w:rPr>
              <w:t>%</w:t>
            </w:r>
          </w:p>
        </w:tc>
        <w:tc>
          <w:tcPr>
            <w:tcW w:w="340" w:type="dxa"/>
            <w:tcBorders>
              <w:top w:val="nil"/>
              <w:left w:val="nil"/>
              <w:bottom w:val="nil"/>
              <w:right w:val="nil"/>
            </w:tcBorders>
            <w:shd w:val="clear" w:color="auto" w:fill="auto"/>
            <w:noWrap/>
            <w:vAlign w:val="bottom"/>
            <w:hideMark/>
          </w:tcPr>
          <w:p w14:paraId="450F947C" w14:textId="77777777" w:rsidR="005E0838" w:rsidRPr="00C06EDB" w:rsidRDefault="005E0838" w:rsidP="007C42EC">
            <w:pPr>
              <w:jc w:val="right"/>
              <w:rPr>
                <w:rFonts w:ascii="Arial" w:hAnsi="Arial" w:cs="Arial"/>
                <w:color w:val="000000"/>
                <w:sz w:val="22"/>
                <w:szCs w:val="22"/>
              </w:rPr>
            </w:pPr>
          </w:p>
        </w:tc>
        <w:tc>
          <w:tcPr>
            <w:tcW w:w="915" w:type="dxa"/>
            <w:tcBorders>
              <w:top w:val="single" w:sz="8" w:space="0" w:color="auto"/>
              <w:left w:val="single" w:sz="8" w:space="0" w:color="auto"/>
              <w:bottom w:val="single" w:sz="8" w:space="0" w:color="auto"/>
              <w:right w:val="single" w:sz="8" w:space="0" w:color="auto"/>
            </w:tcBorders>
            <w:shd w:val="clear" w:color="auto" w:fill="4F81BD" w:themeFill="accent1"/>
            <w:noWrap/>
            <w:vAlign w:val="center"/>
            <w:hideMark/>
          </w:tcPr>
          <w:p w14:paraId="01C02E05" w14:textId="77777777" w:rsidR="005E0838" w:rsidRPr="00C06EDB" w:rsidRDefault="005E0838" w:rsidP="007C42EC">
            <w:pPr>
              <w:rPr>
                <w:rFonts w:ascii="Arial" w:hAnsi="Arial" w:cs="Arial"/>
                <w:b/>
                <w:bCs/>
                <w:color w:val="FFFFFF" w:themeColor="background1"/>
                <w:sz w:val="22"/>
                <w:szCs w:val="22"/>
              </w:rPr>
            </w:pPr>
            <w:r w:rsidRPr="00C06EDB">
              <w:rPr>
                <w:rFonts w:ascii="Arial" w:hAnsi="Arial" w:cs="Arial"/>
                <w:b/>
                <w:bCs/>
                <w:color w:val="FFFFFF" w:themeColor="background1"/>
                <w:sz w:val="22"/>
                <w:szCs w:val="22"/>
              </w:rPr>
              <w:t>Total</w:t>
            </w:r>
          </w:p>
        </w:tc>
        <w:tc>
          <w:tcPr>
            <w:tcW w:w="960" w:type="dxa"/>
            <w:tcBorders>
              <w:top w:val="single" w:sz="8" w:space="0" w:color="auto"/>
              <w:left w:val="nil"/>
              <w:bottom w:val="single" w:sz="8" w:space="0" w:color="auto"/>
              <w:right w:val="single" w:sz="8" w:space="0" w:color="auto"/>
            </w:tcBorders>
            <w:shd w:val="clear" w:color="auto" w:fill="4F81BD" w:themeFill="accent1"/>
            <w:noWrap/>
            <w:vAlign w:val="center"/>
            <w:hideMark/>
          </w:tcPr>
          <w:p w14:paraId="44B2288B" w14:textId="77777777" w:rsidR="005E0838" w:rsidRPr="00C06EDB" w:rsidRDefault="005E0838" w:rsidP="007C42EC">
            <w:pPr>
              <w:jc w:val="right"/>
              <w:rPr>
                <w:rFonts w:ascii="Arial" w:hAnsi="Arial" w:cs="Arial"/>
                <w:b/>
                <w:bCs/>
                <w:color w:val="FFFFFF" w:themeColor="background1"/>
                <w:sz w:val="22"/>
                <w:szCs w:val="22"/>
              </w:rPr>
            </w:pPr>
            <w:r w:rsidRPr="00C06EDB">
              <w:rPr>
                <w:rFonts w:ascii="Arial" w:hAnsi="Arial" w:cs="Arial"/>
                <w:b/>
                <w:bCs/>
                <w:color w:val="FFFFFF" w:themeColor="background1"/>
                <w:sz w:val="22"/>
                <w:szCs w:val="22"/>
              </w:rPr>
              <w:t>100.0%</w:t>
            </w:r>
          </w:p>
        </w:tc>
        <w:tc>
          <w:tcPr>
            <w:tcW w:w="320" w:type="dxa"/>
            <w:tcBorders>
              <w:top w:val="nil"/>
              <w:left w:val="nil"/>
              <w:bottom w:val="nil"/>
              <w:right w:val="nil"/>
            </w:tcBorders>
            <w:shd w:val="clear" w:color="auto" w:fill="auto"/>
            <w:noWrap/>
            <w:vAlign w:val="bottom"/>
            <w:hideMark/>
          </w:tcPr>
          <w:p w14:paraId="01CA3538" w14:textId="77777777" w:rsidR="005E0838" w:rsidRPr="00C06EDB" w:rsidRDefault="005E0838" w:rsidP="007C42EC">
            <w:pPr>
              <w:jc w:val="right"/>
              <w:rPr>
                <w:rFonts w:ascii="Arial" w:hAnsi="Arial" w:cs="Arial"/>
                <w:b/>
                <w:bCs/>
                <w:color w:val="FFFFFF" w:themeColor="background1"/>
                <w:sz w:val="22"/>
                <w:szCs w:val="22"/>
              </w:rPr>
            </w:pPr>
          </w:p>
        </w:tc>
        <w:tc>
          <w:tcPr>
            <w:tcW w:w="3625" w:type="dxa"/>
            <w:tcBorders>
              <w:top w:val="nil"/>
              <w:left w:val="single" w:sz="8" w:space="0" w:color="auto"/>
              <w:bottom w:val="nil"/>
              <w:right w:val="single" w:sz="8" w:space="0" w:color="auto"/>
            </w:tcBorders>
            <w:shd w:val="clear" w:color="auto" w:fill="auto"/>
            <w:noWrap/>
            <w:vAlign w:val="center"/>
            <w:hideMark/>
          </w:tcPr>
          <w:p w14:paraId="45684BDB" w14:textId="77777777" w:rsidR="005E0838" w:rsidRPr="00C06EDB" w:rsidRDefault="005E0838" w:rsidP="007C42EC">
            <w:pPr>
              <w:rPr>
                <w:rFonts w:ascii="Arial" w:hAnsi="Arial" w:cs="Arial"/>
                <w:color w:val="333333"/>
                <w:sz w:val="22"/>
                <w:szCs w:val="22"/>
              </w:rPr>
            </w:pPr>
            <w:r w:rsidRPr="00C06EDB">
              <w:rPr>
                <w:rFonts w:ascii="Arial" w:hAnsi="Arial" w:cs="Arial"/>
                <w:color w:val="333333"/>
                <w:sz w:val="22"/>
                <w:szCs w:val="22"/>
              </w:rPr>
              <w:t>Hispanic</w:t>
            </w:r>
          </w:p>
        </w:tc>
        <w:tc>
          <w:tcPr>
            <w:tcW w:w="1170" w:type="dxa"/>
            <w:tcBorders>
              <w:top w:val="nil"/>
              <w:left w:val="nil"/>
              <w:bottom w:val="nil"/>
              <w:right w:val="single" w:sz="8" w:space="0" w:color="auto"/>
            </w:tcBorders>
            <w:shd w:val="clear" w:color="auto" w:fill="auto"/>
            <w:noWrap/>
            <w:vAlign w:val="center"/>
            <w:hideMark/>
          </w:tcPr>
          <w:p w14:paraId="4D32F856" w14:textId="07A01663" w:rsidR="005E0838" w:rsidRPr="00C06EDB" w:rsidRDefault="005E0838" w:rsidP="007C42EC">
            <w:pPr>
              <w:jc w:val="right"/>
              <w:rPr>
                <w:rFonts w:ascii="Arial" w:hAnsi="Arial" w:cs="Arial"/>
                <w:color w:val="333333"/>
                <w:sz w:val="22"/>
                <w:szCs w:val="22"/>
              </w:rPr>
            </w:pPr>
            <w:r w:rsidRPr="00C06EDB">
              <w:rPr>
                <w:rFonts w:ascii="Arial" w:hAnsi="Arial" w:cs="Arial"/>
                <w:color w:val="333333"/>
                <w:sz w:val="22"/>
                <w:szCs w:val="22"/>
              </w:rPr>
              <w:t>11.</w:t>
            </w:r>
            <w:r w:rsidR="00A645D0">
              <w:rPr>
                <w:rFonts w:ascii="Arial" w:hAnsi="Arial" w:cs="Arial"/>
                <w:color w:val="333333"/>
                <w:sz w:val="22"/>
                <w:szCs w:val="22"/>
              </w:rPr>
              <w:t>9</w:t>
            </w:r>
            <w:r w:rsidRPr="00C06EDB">
              <w:rPr>
                <w:rFonts w:ascii="Arial" w:hAnsi="Arial" w:cs="Arial"/>
                <w:color w:val="333333"/>
                <w:sz w:val="22"/>
                <w:szCs w:val="22"/>
              </w:rPr>
              <w:t>%</w:t>
            </w:r>
          </w:p>
        </w:tc>
      </w:tr>
      <w:tr w:rsidR="005E0838" w:rsidRPr="00C06EDB" w14:paraId="77664969" w14:textId="77777777" w:rsidTr="007C42EC">
        <w:trPr>
          <w:trHeight w:val="315"/>
        </w:trPr>
        <w:tc>
          <w:tcPr>
            <w:tcW w:w="2140" w:type="dxa"/>
            <w:tcBorders>
              <w:top w:val="nil"/>
              <w:left w:val="single" w:sz="8" w:space="0" w:color="auto"/>
              <w:bottom w:val="single" w:sz="8" w:space="0" w:color="auto"/>
              <w:right w:val="single" w:sz="8" w:space="0" w:color="auto"/>
            </w:tcBorders>
            <w:shd w:val="clear" w:color="auto" w:fill="auto"/>
            <w:noWrap/>
            <w:vAlign w:val="center"/>
            <w:hideMark/>
          </w:tcPr>
          <w:p w14:paraId="0C914CEC" w14:textId="77777777" w:rsidR="005E0838" w:rsidRPr="00C06EDB" w:rsidRDefault="005E0838" w:rsidP="007C42EC">
            <w:pPr>
              <w:rPr>
                <w:rFonts w:ascii="Arial" w:hAnsi="Arial" w:cs="Arial"/>
                <w:color w:val="000000"/>
                <w:sz w:val="22"/>
                <w:szCs w:val="22"/>
              </w:rPr>
            </w:pPr>
            <w:r w:rsidRPr="00C06EDB">
              <w:rPr>
                <w:rFonts w:ascii="Arial" w:hAnsi="Arial" w:cs="Arial"/>
                <w:color w:val="000000"/>
                <w:sz w:val="22"/>
                <w:szCs w:val="22"/>
              </w:rPr>
              <w:t>15-17 y</w:t>
            </w:r>
          </w:p>
        </w:tc>
        <w:tc>
          <w:tcPr>
            <w:tcW w:w="960" w:type="dxa"/>
            <w:tcBorders>
              <w:top w:val="nil"/>
              <w:left w:val="nil"/>
              <w:bottom w:val="single" w:sz="8" w:space="0" w:color="auto"/>
              <w:right w:val="single" w:sz="8" w:space="0" w:color="auto"/>
            </w:tcBorders>
            <w:shd w:val="clear" w:color="auto" w:fill="auto"/>
            <w:noWrap/>
            <w:vAlign w:val="center"/>
            <w:hideMark/>
          </w:tcPr>
          <w:p w14:paraId="3D40C1BE" w14:textId="1F13A53C" w:rsidR="005E0838" w:rsidRPr="00C06EDB" w:rsidRDefault="005E0838" w:rsidP="007C42EC">
            <w:pPr>
              <w:jc w:val="right"/>
              <w:rPr>
                <w:rFonts w:ascii="Arial" w:hAnsi="Arial" w:cs="Arial"/>
                <w:color w:val="000000"/>
                <w:sz w:val="22"/>
                <w:szCs w:val="22"/>
              </w:rPr>
            </w:pPr>
            <w:r w:rsidRPr="00C06EDB">
              <w:rPr>
                <w:rFonts w:ascii="Arial" w:hAnsi="Arial" w:cs="Arial"/>
                <w:color w:val="000000"/>
                <w:sz w:val="22"/>
                <w:szCs w:val="22"/>
              </w:rPr>
              <w:t>1</w:t>
            </w:r>
            <w:r w:rsidR="00A645D0">
              <w:rPr>
                <w:rFonts w:ascii="Arial" w:hAnsi="Arial" w:cs="Arial"/>
                <w:color w:val="000000"/>
                <w:sz w:val="22"/>
                <w:szCs w:val="22"/>
              </w:rPr>
              <w:t>3</w:t>
            </w:r>
            <w:r w:rsidRPr="00C06EDB">
              <w:rPr>
                <w:rFonts w:ascii="Arial" w:hAnsi="Arial" w:cs="Arial"/>
                <w:color w:val="000000"/>
                <w:sz w:val="22"/>
                <w:szCs w:val="22"/>
              </w:rPr>
              <w:t>.4%</w:t>
            </w:r>
          </w:p>
        </w:tc>
        <w:tc>
          <w:tcPr>
            <w:tcW w:w="340" w:type="dxa"/>
            <w:tcBorders>
              <w:top w:val="nil"/>
              <w:left w:val="nil"/>
              <w:bottom w:val="nil"/>
              <w:right w:val="nil"/>
            </w:tcBorders>
            <w:shd w:val="clear" w:color="auto" w:fill="auto"/>
            <w:noWrap/>
            <w:vAlign w:val="bottom"/>
            <w:hideMark/>
          </w:tcPr>
          <w:p w14:paraId="78555EDA" w14:textId="77777777" w:rsidR="005E0838" w:rsidRPr="00C06EDB" w:rsidRDefault="005E0838" w:rsidP="007C42EC">
            <w:pPr>
              <w:jc w:val="right"/>
              <w:rPr>
                <w:rFonts w:ascii="Arial" w:hAnsi="Arial" w:cs="Arial"/>
                <w:color w:val="000000"/>
                <w:sz w:val="22"/>
                <w:szCs w:val="22"/>
              </w:rPr>
            </w:pPr>
          </w:p>
        </w:tc>
        <w:tc>
          <w:tcPr>
            <w:tcW w:w="915" w:type="dxa"/>
            <w:tcBorders>
              <w:top w:val="nil"/>
              <w:left w:val="nil"/>
              <w:bottom w:val="nil"/>
              <w:right w:val="nil"/>
            </w:tcBorders>
            <w:shd w:val="clear" w:color="auto" w:fill="auto"/>
            <w:noWrap/>
            <w:vAlign w:val="bottom"/>
            <w:hideMark/>
          </w:tcPr>
          <w:p w14:paraId="7E24C04F" w14:textId="77777777" w:rsidR="005E0838" w:rsidRPr="00C06EDB" w:rsidRDefault="005E0838" w:rsidP="007C42EC">
            <w:pPr>
              <w:rPr>
                <w:rFonts w:ascii="Arial" w:hAnsi="Arial" w:cs="Arial"/>
                <w:sz w:val="22"/>
                <w:szCs w:val="22"/>
              </w:rPr>
            </w:pPr>
          </w:p>
        </w:tc>
        <w:tc>
          <w:tcPr>
            <w:tcW w:w="960" w:type="dxa"/>
            <w:tcBorders>
              <w:top w:val="nil"/>
              <w:left w:val="nil"/>
              <w:bottom w:val="nil"/>
              <w:right w:val="nil"/>
            </w:tcBorders>
            <w:shd w:val="clear" w:color="auto" w:fill="auto"/>
            <w:noWrap/>
            <w:vAlign w:val="bottom"/>
            <w:hideMark/>
          </w:tcPr>
          <w:p w14:paraId="62F2A549" w14:textId="77777777" w:rsidR="005E0838" w:rsidRPr="00C06EDB" w:rsidRDefault="005E0838" w:rsidP="007C42EC">
            <w:pPr>
              <w:rPr>
                <w:rFonts w:ascii="Arial" w:hAnsi="Arial" w:cs="Arial"/>
                <w:sz w:val="22"/>
                <w:szCs w:val="22"/>
              </w:rPr>
            </w:pPr>
          </w:p>
        </w:tc>
        <w:tc>
          <w:tcPr>
            <w:tcW w:w="320" w:type="dxa"/>
            <w:tcBorders>
              <w:top w:val="nil"/>
              <w:left w:val="nil"/>
              <w:bottom w:val="nil"/>
              <w:right w:val="nil"/>
            </w:tcBorders>
            <w:shd w:val="clear" w:color="auto" w:fill="auto"/>
            <w:noWrap/>
            <w:vAlign w:val="bottom"/>
            <w:hideMark/>
          </w:tcPr>
          <w:p w14:paraId="11BBD4D6" w14:textId="77777777" w:rsidR="005E0838" w:rsidRPr="00C06EDB" w:rsidRDefault="005E0838" w:rsidP="007C42EC">
            <w:pPr>
              <w:rPr>
                <w:rFonts w:ascii="Arial" w:hAnsi="Arial" w:cs="Arial"/>
                <w:sz w:val="22"/>
                <w:szCs w:val="22"/>
              </w:rPr>
            </w:pPr>
          </w:p>
        </w:tc>
        <w:tc>
          <w:tcPr>
            <w:tcW w:w="362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DE0DE1F" w14:textId="77777777" w:rsidR="005E0838" w:rsidRPr="00C06EDB" w:rsidRDefault="005E0838" w:rsidP="007C42EC">
            <w:pPr>
              <w:rPr>
                <w:rFonts w:ascii="Arial" w:hAnsi="Arial" w:cs="Arial"/>
                <w:color w:val="333333"/>
                <w:sz w:val="22"/>
                <w:szCs w:val="22"/>
              </w:rPr>
            </w:pPr>
            <w:r w:rsidRPr="00C06EDB">
              <w:rPr>
                <w:rFonts w:ascii="Arial" w:hAnsi="Arial" w:cs="Arial"/>
                <w:color w:val="333333"/>
                <w:sz w:val="22"/>
                <w:szCs w:val="22"/>
              </w:rPr>
              <w:t>Multiracial</w:t>
            </w:r>
          </w:p>
        </w:tc>
        <w:tc>
          <w:tcPr>
            <w:tcW w:w="1170" w:type="dxa"/>
            <w:tcBorders>
              <w:top w:val="single" w:sz="8" w:space="0" w:color="auto"/>
              <w:left w:val="nil"/>
              <w:bottom w:val="single" w:sz="8" w:space="0" w:color="auto"/>
              <w:right w:val="single" w:sz="8" w:space="0" w:color="auto"/>
            </w:tcBorders>
            <w:shd w:val="clear" w:color="auto" w:fill="auto"/>
            <w:noWrap/>
            <w:vAlign w:val="center"/>
            <w:hideMark/>
          </w:tcPr>
          <w:p w14:paraId="66B636EF" w14:textId="223E41E5" w:rsidR="005E0838" w:rsidRPr="00C06EDB" w:rsidRDefault="005E0838" w:rsidP="007C42EC">
            <w:pPr>
              <w:jc w:val="right"/>
              <w:rPr>
                <w:rFonts w:ascii="Arial" w:hAnsi="Arial" w:cs="Arial"/>
                <w:color w:val="333333"/>
                <w:sz w:val="22"/>
                <w:szCs w:val="22"/>
              </w:rPr>
            </w:pPr>
            <w:r w:rsidRPr="00C06EDB">
              <w:rPr>
                <w:rFonts w:ascii="Arial" w:hAnsi="Arial" w:cs="Arial"/>
                <w:color w:val="333333"/>
                <w:sz w:val="22"/>
                <w:szCs w:val="22"/>
              </w:rPr>
              <w:t>6.</w:t>
            </w:r>
            <w:r w:rsidR="00A645D0">
              <w:rPr>
                <w:rFonts w:ascii="Arial" w:hAnsi="Arial" w:cs="Arial"/>
                <w:color w:val="333333"/>
                <w:sz w:val="22"/>
                <w:szCs w:val="22"/>
              </w:rPr>
              <w:t>5</w:t>
            </w:r>
            <w:r w:rsidRPr="00C06EDB">
              <w:rPr>
                <w:rFonts w:ascii="Arial" w:hAnsi="Arial" w:cs="Arial"/>
                <w:color w:val="333333"/>
                <w:sz w:val="22"/>
                <w:szCs w:val="22"/>
              </w:rPr>
              <w:t>%</w:t>
            </w:r>
          </w:p>
        </w:tc>
      </w:tr>
      <w:tr w:rsidR="005E0838" w:rsidRPr="00C06EDB" w14:paraId="26654241" w14:textId="77777777" w:rsidTr="007C42EC">
        <w:trPr>
          <w:trHeight w:val="315"/>
        </w:trPr>
        <w:tc>
          <w:tcPr>
            <w:tcW w:w="2140" w:type="dxa"/>
            <w:tcBorders>
              <w:top w:val="nil"/>
              <w:left w:val="single" w:sz="8" w:space="0" w:color="auto"/>
              <w:bottom w:val="single" w:sz="8" w:space="0" w:color="auto"/>
              <w:right w:val="single" w:sz="8" w:space="0" w:color="auto"/>
            </w:tcBorders>
            <w:shd w:val="clear" w:color="auto" w:fill="auto"/>
            <w:noWrap/>
            <w:vAlign w:val="center"/>
            <w:hideMark/>
          </w:tcPr>
          <w:p w14:paraId="2A1B3223" w14:textId="77777777" w:rsidR="005E0838" w:rsidRPr="00C06EDB" w:rsidRDefault="005E0838" w:rsidP="007C42EC">
            <w:pPr>
              <w:rPr>
                <w:rFonts w:ascii="Arial" w:hAnsi="Arial" w:cs="Arial"/>
                <w:color w:val="000000"/>
                <w:sz w:val="22"/>
                <w:szCs w:val="22"/>
              </w:rPr>
            </w:pPr>
            <w:r w:rsidRPr="00C06EDB">
              <w:rPr>
                <w:rFonts w:ascii="Arial" w:hAnsi="Arial" w:cs="Arial"/>
                <w:color w:val="000000"/>
                <w:sz w:val="22"/>
                <w:szCs w:val="22"/>
              </w:rPr>
              <w:t>18+ y</w:t>
            </w:r>
          </w:p>
        </w:tc>
        <w:tc>
          <w:tcPr>
            <w:tcW w:w="960" w:type="dxa"/>
            <w:tcBorders>
              <w:top w:val="nil"/>
              <w:left w:val="nil"/>
              <w:bottom w:val="single" w:sz="8" w:space="0" w:color="auto"/>
              <w:right w:val="single" w:sz="8" w:space="0" w:color="auto"/>
            </w:tcBorders>
            <w:shd w:val="clear" w:color="auto" w:fill="auto"/>
            <w:noWrap/>
            <w:vAlign w:val="center"/>
            <w:hideMark/>
          </w:tcPr>
          <w:p w14:paraId="705F3F41" w14:textId="14733DE7" w:rsidR="005E0838" w:rsidRPr="00C06EDB" w:rsidRDefault="00A645D0" w:rsidP="007C42EC">
            <w:pPr>
              <w:jc w:val="right"/>
              <w:rPr>
                <w:rFonts w:ascii="Arial" w:hAnsi="Arial" w:cs="Arial"/>
                <w:color w:val="000000"/>
                <w:sz w:val="22"/>
                <w:szCs w:val="22"/>
              </w:rPr>
            </w:pPr>
            <w:r>
              <w:rPr>
                <w:rFonts w:ascii="Arial" w:hAnsi="Arial" w:cs="Arial"/>
                <w:color w:val="000000"/>
                <w:sz w:val="22"/>
                <w:szCs w:val="22"/>
              </w:rPr>
              <w:t>5.2</w:t>
            </w:r>
            <w:r w:rsidR="005E0838" w:rsidRPr="00C06EDB">
              <w:rPr>
                <w:rFonts w:ascii="Arial" w:hAnsi="Arial" w:cs="Arial"/>
                <w:color w:val="000000"/>
                <w:sz w:val="22"/>
                <w:szCs w:val="22"/>
              </w:rPr>
              <w:t>%</w:t>
            </w:r>
          </w:p>
        </w:tc>
        <w:tc>
          <w:tcPr>
            <w:tcW w:w="340" w:type="dxa"/>
            <w:tcBorders>
              <w:top w:val="nil"/>
              <w:left w:val="nil"/>
              <w:bottom w:val="nil"/>
              <w:right w:val="nil"/>
            </w:tcBorders>
            <w:shd w:val="clear" w:color="auto" w:fill="auto"/>
            <w:noWrap/>
            <w:vAlign w:val="bottom"/>
            <w:hideMark/>
          </w:tcPr>
          <w:p w14:paraId="110A98F4" w14:textId="77777777" w:rsidR="005E0838" w:rsidRPr="00C06EDB" w:rsidRDefault="005E0838" w:rsidP="007C42EC">
            <w:pPr>
              <w:jc w:val="right"/>
              <w:rPr>
                <w:rFonts w:ascii="Arial" w:hAnsi="Arial" w:cs="Arial"/>
                <w:color w:val="000000"/>
                <w:sz w:val="22"/>
                <w:szCs w:val="22"/>
              </w:rPr>
            </w:pPr>
          </w:p>
        </w:tc>
        <w:tc>
          <w:tcPr>
            <w:tcW w:w="915" w:type="dxa"/>
            <w:tcBorders>
              <w:top w:val="nil"/>
              <w:left w:val="nil"/>
              <w:bottom w:val="nil"/>
              <w:right w:val="nil"/>
            </w:tcBorders>
            <w:shd w:val="clear" w:color="auto" w:fill="auto"/>
            <w:noWrap/>
            <w:vAlign w:val="bottom"/>
            <w:hideMark/>
          </w:tcPr>
          <w:p w14:paraId="5E9A7153" w14:textId="77777777" w:rsidR="005E0838" w:rsidRPr="00C06EDB" w:rsidRDefault="005E0838" w:rsidP="007C42EC">
            <w:pPr>
              <w:rPr>
                <w:rFonts w:ascii="Arial" w:hAnsi="Arial" w:cs="Arial"/>
                <w:sz w:val="22"/>
                <w:szCs w:val="22"/>
              </w:rPr>
            </w:pPr>
          </w:p>
        </w:tc>
        <w:tc>
          <w:tcPr>
            <w:tcW w:w="960" w:type="dxa"/>
            <w:tcBorders>
              <w:top w:val="nil"/>
              <w:left w:val="nil"/>
              <w:bottom w:val="nil"/>
              <w:right w:val="nil"/>
            </w:tcBorders>
            <w:shd w:val="clear" w:color="auto" w:fill="auto"/>
            <w:noWrap/>
            <w:vAlign w:val="bottom"/>
            <w:hideMark/>
          </w:tcPr>
          <w:p w14:paraId="65FA6F31" w14:textId="77777777" w:rsidR="005E0838" w:rsidRPr="00C06EDB" w:rsidRDefault="005E0838" w:rsidP="007C42EC">
            <w:pPr>
              <w:rPr>
                <w:rFonts w:ascii="Arial" w:hAnsi="Arial" w:cs="Arial"/>
                <w:sz w:val="22"/>
                <w:szCs w:val="22"/>
              </w:rPr>
            </w:pPr>
          </w:p>
        </w:tc>
        <w:tc>
          <w:tcPr>
            <w:tcW w:w="320" w:type="dxa"/>
            <w:tcBorders>
              <w:top w:val="nil"/>
              <w:left w:val="nil"/>
              <w:bottom w:val="nil"/>
              <w:right w:val="nil"/>
            </w:tcBorders>
            <w:shd w:val="clear" w:color="auto" w:fill="auto"/>
            <w:noWrap/>
            <w:vAlign w:val="bottom"/>
            <w:hideMark/>
          </w:tcPr>
          <w:p w14:paraId="5388962C" w14:textId="77777777" w:rsidR="005E0838" w:rsidRPr="00C06EDB" w:rsidRDefault="005E0838" w:rsidP="007C42EC">
            <w:pPr>
              <w:rPr>
                <w:rFonts w:ascii="Arial" w:hAnsi="Arial" w:cs="Arial"/>
                <w:sz w:val="22"/>
                <w:szCs w:val="22"/>
              </w:rPr>
            </w:pPr>
          </w:p>
        </w:tc>
        <w:tc>
          <w:tcPr>
            <w:tcW w:w="3625" w:type="dxa"/>
            <w:tcBorders>
              <w:top w:val="nil"/>
              <w:left w:val="single" w:sz="8" w:space="0" w:color="auto"/>
              <w:bottom w:val="single" w:sz="8" w:space="0" w:color="auto"/>
              <w:right w:val="single" w:sz="8" w:space="0" w:color="auto"/>
            </w:tcBorders>
            <w:shd w:val="clear" w:color="auto" w:fill="auto"/>
            <w:noWrap/>
            <w:vAlign w:val="center"/>
            <w:hideMark/>
          </w:tcPr>
          <w:p w14:paraId="39F5FAFD" w14:textId="77777777" w:rsidR="005E0838" w:rsidRPr="00C06EDB" w:rsidRDefault="005E0838" w:rsidP="007C42EC">
            <w:pPr>
              <w:rPr>
                <w:rFonts w:ascii="Arial" w:hAnsi="Arial" w:cs="Arial"/>
                <w:color w:val="333333"/>
                <w:sz w:val="22"/>
                <w:szCs w:val="22"/>
              </w:rPr>
            </w:pPr>
            <w:r w:rsidRPr="00C06EDB">
              <w:rPr>
                <w:rFonts w:ascii="Arial" w:hAnsi="Arial" w:cs="Arial"/>
                <w:color w:val="333333"/>
                <w:sz w:val="22"/>
                <w:szCs w:val="22"/>
              </w:rPr>
              <w:t>Native Hawaiian or Other Pacific Islander</w:t>
            </w:r>
          </w:p>
        </w:tc>
        <w:tc>
          <w:tcPr>
            <w:tcW w:w="1170" w:type="dxa"/>
            <w:tcBorders>
              <w:top w:val="nil"/>
              <w:left w:val="nil"/>
              <w:bottom w:val="single" w:sz="8" w:space="0" w:color="auto"/>
              <w:right w:val="single" w:sz="8" w:space="0" w:color="auto"/>
            </w:tcBorders>
            <w:shd w:val="clear" w:color="auto" w:fill="auto"/>
            <w:noWrap/>
            <w:vAlign w:val="center"/>
            <w:hideMark/>
          </w:tcPr>
          <w:p w14:paraId="2CAA900E" w14:textId="77777777" w:rsidR="005E0838" w:rsidRPr="00C06EDB" w:rsidRDefault="005E0838" w:rsidP="007C42EC">
            <w:pPr>
              <w:jc w:val="right"/>
              <w:rPr>
                <w:rFonts w:ascii="Arial" w:hAnsi="Arial" w:cs="Arial"/>
                <w:color w:val="333333"/>
                <w:sz w:val="22"/>
                <w:szCs w:val="22"/>
              </w:rPr>
            </w:pPr>
            <w:r w:rsidRPr="00C06EDB">
              <w:rPr>
                <w:rFonts w:ascii="Arial" w:hAnsi="Arial" w:cs="Arial"/>
                <w:color w:val="333333"/>
                <w:sz w:val="22"/>
                <w:szCs w:val="22"/>
              </w:rPr>
              <w:t>0.3%</w:t>
            </w:r>
          </w:p>
        </w:tc>
      </w:tr>
      <w:tr w:rsidR="005E0838" w:rsidRPr="00C06EDB" w14:paraId="69E7CD06" w14:textId="77777777" w:rsidTr="007C42EC">
        <w:trPr>
          <w:trHeight w:val="315"/>
        </w:trPr>
        <w:tc>
          <w:tcPr>
            <w:tcW w:w="2140" w:type="dxa"/>
            <w:tcBorders>
              <w:top w:val="single" w:sz="8" w:space="0" w:color="auto"/>
              <w:left w:val="single" w:sz="8" w:space="0" w:color="auto"/>
              <w:bottom w:val="single" w:sz="8" w:space="0" w:color="auto"/>
              <w:right w:val="single" w:sz="8" w:space="0" w:color="auto"/>
            </w:tcBorders>
            <w:shd w:val="clear" w:color="auto" w:fill="4F81BD" w:themeFill="accent1"/>
            <w:noWrap/>
            <w:vAlign w:val="center"/>
            <w:hideMark/>
          </w:tcPr>
          <w:p w14:paraId="15AB70F0" w14:textId="77777777" w:rsidR="005E0838" w:rsidRPr="00C06EDB" w:rsidRDefault="005E0838" w:rsidP="007C42EC">
            <w:pPr>
              <w:rPr>
                <w:rFonts w:ascii="Arial" w:hAnsi="Arial" w:cs="Arial"/>
                <w:b/>
                <w:bCs/>
                <w:color w:val="FFFFFF" w:themeColor="background1"/>
                <w:sz w:val="22"/>
                <w:szCs w:val="22"/>
              </w:rPr>
            </w:pPr>
            <w:r w:rsidRPr="00C06EDB">
              <w:rPr>
                <w:rFonts w:ascii="Arial" w:hAnsi="Arial" w:cs="Arial"/>
                <w:b/>
                <w:bCs/>
                <w:color w:val="FFFFFF" w:themeColor="background1"/>
                <w:sz w:val="22"/>
                <w:szCs w:val="22"/>
              </w:rPr>
              <w:t>Total</w:t>
            </w:r>
          </w:p>
        </w:tc>
        <w:tc>
          <w:tcPr>
            <w:tcW w:w="960" w:type="dxa"/>
            <w:tcBorders>
              <w:top w:val="single" w:sz="8" w:space="0" w:color="auto"/>
              <w:left w:val="nil"/>
              <w:bottom w:val="single" w:sz="8" w:space="0" w:color="auto"/>
              <w:right w:val="single" w:sz="8" w:space="0" w:color="auto"/>
            </w:tcBorders>
            <w:shd w:val="clear" w:color="auto" w:fill="4F81BD" w:themeFill="accent1"/>
            <w:noWrap/>
            <w:vAlign w:val="center"/>
            <w:hideMark/>
          </w:tcPr>
          <w:p w14:paraId="6D1858F0" w14:textId="77777777" w:rsidR="005E0838" w:rsidRPr="00C06EDB" w:rsidRDefault="005E0838" w:rsidP="007C42EC">
            <w:pPr>
              <w:jc w:val="right"/>
              <w:rPr>
                <w:rFonts w:ascii="Arial" w:hAnsi="Arial" w:cs="Arial"/>
                <w:b/>
                <w:bCs/>
                <w:color w:val="FFFFFF" w:themeColor="background1"/>
                <w:sz w:val="22"/>
                <w:szCs w:val="22"/>
              </w:rPr>
            </w:pPr>
            <w:r w:rsidRPr="00C06EDB">
              <w:rPr>
                <w:rFonts w:ascii="Arial" w:hAnsi="Arial" w:cs="Arial"/>
                <w:b/>
                <w:bCs/>
                <w:color w:val="FFFFFF" w:themeColor="background1"/>
                <w:sz w:val="22"/>
                <w:szCs w:val="22"/>
              </w:rPr>
              <w:t>100.0%</w:t>
            </w:r>
          </w:p>
        </w:tc>
        <w:tc>
          <w:tcPr>
            <w:tcW w:w="340" w:type="dxa"/>
            <w:tcBorders>
              <w:top w:val="nil"/>
              <w:left w:val="nil"/>
              <w:bottom w:val="nil"/>
              <w:right w:val="nil"/>
            </w:tcBorders>
            <w:shd w:val="clear" w:color="auto" w:fill="auto"/>
            <w:noWrap/>
            <w:vAlign w:val="bottom"/>
            <w:hideMark/>
          </w:tcPr>
          <w:p w14:paraId="5A18E067" w14:textId="77777777" w:rsidR="005E0838" w:rsidRPr="00C06EDB" w:rsidRDefault="005E0838" w:rsidP="007C42EC">
            <w:pPr>
              <w:jc w:val="right"/>
              <w:rPr>
                <w:rFonts w:ascii="Arial" w:hAnsi="Arial" w:cs="Arial"/>
                <w:b/>
                <w:bCs/>
                <w:color w:val="000000"/>
                <w:sz w:val="22"/>
                <w:szCs w:val="22"/>
              </w:rPr>
            </w:pPr>
          </w:p>
        </w:tc>
        <w:tc>
          <w:tcPr>
            <w:tcW w:w="915" w:type="dxa"/>
            <w:tcBorders>
              <w:top w:val="nil"/>
              <w:left w:val="nil"/>
              <w:bottom w:val="nil"/>
              <w:right w:val="nil"/>
            </w:tcBorders>
            <w:shd w:val="clear" w:color="auto" w:fill="auto"/>
            <w:noWrap/>
            <w:vAlign w:val="bottom"/>
            <w:hideMark/>
          </w:tcPr>
          <w:p w14:paraId="0765BAF2" w14:textId="77777777" w:rsidR="005E0838" w:rsidRPr="00C06EDB" w:rsidRDefault="005E0838" w:rsidP="007C42EC">
            <w:pPr>
              <w:rPr>
                <w:rFonts w:ascii="Arial" w:hAnsi="Arial" w:cs="Arial"/>
                <w:sz w:val="22"/>
                <w:szCs w:val="22"/>
              </w:rPr>
            </w:pPr>
          </w:p>
        </w:tc>
        <w:tc>
          <w:tcPr>
            <w:tcW w:w="960" w:type="dxa"/>
            <w:tcBorders>
              <w:top w:val="nil"/>
              <w:left w:val="nil"/>
              <w:bottom w:val="nil"/>
              <w:right w:val="nil"/>
            </w:tcBorders>
            <w:shd w:val="clear" w:color="auto" w:fill="auto"/>
            <w:noWrap/>
            <w:vAlign w:val="bottom"/>
            <w:hideMark/>
          </w:tcPr>
          <w:p w14:paraId="64C17C20" w14:textId="77777777" w:rsidR="005E0838" w:rsidRPr="00C06EDB" w:rsidRDefault="005E0838" w:rsidP="007C42EC">
            <w:pPr>
              <w:rPr>
                <w:rFonts w:ascii="Arial" w:hAnsi="Arial" w:cs="Arial"/>
                <w:sz w:val="22"/>
                <w:szCs w:val="22"/>
              </w:rPr>
            </w:pPr>
          </w:p>
        </w:tc>
        <w:tc>
          <w:tcPr>
            <w:tcW w:w="320" w:type="dxa"/>
            <w:tcBorders>
              <w:top w:val="nil"/>
              <w:left w:val="nil"/>
              <w:bottom w:val="nil"/>
              <w:right w:val="nil"/>
            </w:tcBorders>
            <w:shd w:val="clear" w:color="auto" w:fill="auto"/>
            <w:noWrap/>
            <w:vAlign w:val="bottom"/>
            <w:hideMark/>
          </w:tcPr>
          <w:p w14:paraId="6DC3C9E3" w14:textId="77777777" w:rsidR="005E0838" w:rsidRPr="00C06EDB" w:rsidRDefault="005E0838" w:rsidP="007C42EC">
            <w:pPr>
              <w:rPr>
                <w:rFonts w:ascii="Arial" w:hAnsi="Arial" w:cs="Arial"/>
                <w:sz w:val="22"/>
                <w:szCs w:val="22"/>
              </w:rPr>
            </w:pPr>
          </w:p>
        </w:tc>
        <w:tc>
          <w:tcPr>
            <w:tcW w:w="3625" w:type="dxa"/>
            <w:tcBorders>
              <w:top w:val="nil"/>
              <w:left w:val="single" w:sz="8" w:space="0" w:color="auto"/>
              <w:bottom w:val="single" w:sz="8" w:space="0" w:color="auto"/>
              <w:right w:val="single" w:sz="8" w:space="0" w:color="auto"/>
            </w:tcBorders>
            <w:shd w:val="clear" w:color="auto" w:fill="auto"/>
            <w:noWrap/>
            <w:vAlign w:val="center"/>
            <w:hideMark/>
          </w:tcPr>
          <w:p w14:paraId="0B2509BF" w14:textId="77777777" w:rsidR="005E0838" w:rsidRPr="00C06EDB" w:rsidRDefault="005E0838" w:rsidP="007C42EC">
            <w:pPr>
              <w:rPr>
                <w:rFonts w:ascii="Arial" w:hAnsi="Arial" w:cs="Arial"/>
                <w:color w:val="333333"/>
                <w:sz w:val="22"/>
                <w:szCs w:val="22"/>
              </w:rPr>
            </w:pPr>
            <w:r w:rsidRPr="00C06EDB">
              <w:rPr>
                <w:rFonts w:ascii="Arial" w:hAnsi="Arial" w:cs="Arial"/>
                <w:color w:val="333333"/>
                <w:sz w:val="22"/>
                <w:szCs w:val="22"/>
              </w:rPr>
              <w:t>Other</w:t>
            </w:r>
          </w:p>
        </w:tc>
        <w:tc>
          <w:tcPr>
            <w:tcW w:w="1170" w:type="dxa"/>
            <w:tcBorders>
              <w:top w:val="nil"/>
              <w:left w:val="nil"/>
              <w:bottom w:val="single" w:sz="8" w:space="0" w:color="auto"/>
              <w:right w:val="single" w:sz="8" w:space="0" w:color="auto"/>
            </w:tcBorders>
            <w:shd w:val="clear" w:color="auto" w:fill="auto"/>
            <w:noWrap/>
            <w:vAlign w:val="center"/>
            <w:hideMark/>
          </w:tcPr>
          <w:p w14:paraId="26F396AA" w14:textId="526DF837" w:rsidR="005E0838" w:rsidRPr="00C06EDB" w:rsidRDefault="005E0838" w:rsidP="007C42EC">
            <w:pPr>
              <w:jc w:val="right"/>
              <w:rPr>
                <w:rFonts w:ascii="Arial" w:hAnsi="Arial" w:cs="Arial"/>
                <w:color w:val="333333"/>
                <w:sz w:val="22"/>
                <w:szCs w:val="22"/>
              </w:rPr>
            </w:pPr>
            <w:r w:rsidRPr="00C06EDB">
              <w:rPr>
                <w:rFonts w:ascii="Arial" w:hAnsi="Arial" w:cs="Arial"/>
                <w:color w:val="333333"/>
                <w:sz w:val="22"/>
                <w:szCs w:val="22"/>
              </w:rPr>
              <w:t>6.</w:t>
            </w:r>
            <w:r w:rsidR="00A645D0">
              <w:rPr>
                <w:rFonts w:ascii="Arial" w:hAnsi="Arial" w:cs="Arial"/>
                <w:color w:val="333333"/>
                <w:sz w:val="22"/>
                <w:szCs w:val="22"/>
              </w:rPr>
              <w:t>1</w:t>
            </w:r>
            <w:r w:rsidRPr="00C06EDB">
              <w:rPr>
                <w:rFonts w:ascii="Arial" w:hAnsi="Arial" w:cs="Arial"/>
                <w:color w:val="333333"/>
                <w:sz w:val="22"/>
                <w:szCs w:val="22"/>
              </w:rPr>
              <w:t>%</w:t>
            </w:r>
          </w:p>
        </w:tc>
      </w:tr>
      <w:tr w:rsidR="005E0838" w:rsidRPr="00C06EDB" w14:paraId="42B5CB88" w14:textId="77777777" w:rsidTr="007C42EC">
        <w:trPr>
          <w:trHeight w:val="315"/>
        </w:trPr>
        <w:tc>
          <w:tcPr>
            <w:tcW w:w="2140" w:type="dxa"/>
            <w:tcBorders>
              <w:top w:val="nil"/>
              <w:left w:val="nil"/>
              <w:bottom w:val="nil"/>
              <w:right w:val="nil"/>
            </w:tcBorders>
            <w:shd w:val="clear" w:color="auto" w:fill="auto"/>
            <w:noWrap/>
            <w:vAlign w:val="bottom"/>
            <w:hideMark/>
          </w:tcPr>
          <w:p w14:paraId="7CB15424" w14:textId="77777777" w:rsidR="005E0838" w:rsidRPr="00C06EDB" w:rsidRDefault="005E0838" w:rsidP="007C42EC">
            <w:pPr>
              <w:jc w:val="right"/>
              <w:rPr>
                <w:rFonts w:ascii="Arial" w:hAnsi="Arial" w:cs="Arial"/>
                <w:color w:val="333333"/>
                <w:sz w:val="22"/>
                <w:szCs w:val="22"/>
              </w:rPr>
            </w:pPr>
          </w:p>
        </w:tc>
        <w:tc>
          <w:tcPr>
            <w:tcW w:w="960" w:type="dxa"/>
            <w:tcBorders>
              <w:top w:val="nil"/>
              <w:left w:val="nil"/>
              <w:bottom w:val="nil"/>
              <w:right w:val="nil"/>
            </w:tcBorders>
            <w:shd w:val="clear" w:color="auto" w:fill="auto"/>
            <w:noWrap/>
            <w:vAlign w:val="bottom"/>
            <w:hideMark/>
          </w:tcPr>
          <w:p w14:paraId="39F5D7AC" w14:textId="77777777" w:rsidR="005E0838" w:rsidRPr="00C06EDB" w:rsidRDefault="005E0838" w:rsidP="007C42EC">
            <w:pPr>
              <w:rPr>
                <w:rFonts w:ascii="Arial" w:hAnsi="Arial" w:cs="Arial"/>
                <w:sz w:val="22"/>
                <w:szCs w:val="22"/>
              </w:rPr>
            </w:pPr>
          </w:p>
        </w:tc>
        <w:tc>
          <w:tcPr>
            <w:tcW w:w="340" w:type="dxa"/>
            <w:tcBorders>
              <w:top w:val="nil"/>
              <w:left w:val="nil"/>
              <w:bottom w:val="nil"/>
              <w:right w:val="nil"/>
            </w:tcBorders>
            <w:shd w:val="clear" w:color="auto" w:fill="auto"/>
            <w:noWrap/>
            <w:vAlign w:val="bottom"/>
            <w:hideMark/>
          </w:tcPr>
          <w:p w14:paraId="275FBF39" w14:textId="77777777" w:rsidR="005E0838" w:rsidRPr="00C06EDB" w:rsidRDefault="005E0838" w:rsidP="007C42EC">
            <w:pPr>
              <w:rPr>
                <w:rFonts w:ascii="Arial" w:hAnsi="Arial" w:cs="Arial"/>
                <w:sz w:val="22"/>
                <w:szCs w:val="22"/>
              </w:rPr>
            </w:pPr>
          </w:p>
        </w:tc>
        <w:tc>
          <w:tcPr>
            <w:tcW w:w="915" w:type="dxa"/>
            <w:tcBorders>
              <w:top w:val="nil"/>
              <w:left w:val="nil"/>
              <w:bottom w:val="nil"/>
              <w:right w:val="nil"/>
            </w:tcBorders>
            <w:shd w:val="clear" w:color="auto" w:fill="auto"/>
            <w:noWrap/>
            <w:vAlign w:val="bottom"/>
            <w:hideMark/>
          </w:tcPr>
          <w:p w14:paraId="1F37AA1A" w14:textId="77777777" w:rsidR="005E0838" w:rsidRPr="00C06EDB" w:rsidRDefault="005E0838" w:rsidP="007C42EC">
            <w:pPr>
              <w:rPr>
                <w:rFonts w:ascii="Arial" w:hAnsi="Arial" w:cs="Arial"/>
                <w:sz w:val="22"/>
                <w:szCs w:val="22"/>
              </w:rPr>
            </w:pPr>
          </w:p>
        </w:tc>
        <w:tc>
          <w:tcPr>
            <w:tcW w:w="960" w:type="dxa"/>
            <w:tcBorders>
              <w:top w:val="nil"/>
              <w:left w:val="nil"/>
              <w:bottom w:val="nil"/>
              <w:right w:val="nil"/>
            </w:tcBorders>
            <w:shd w:val="clear" w:color="auto" w:fill="auto"/>
            <w:noWrap/>
            <w:vAlign w:val="bottom"/>
            <w:hideMark/>
          </w:tcPr>
          <w:p w14:paraId="35856A5B" w14:textId="77777777" w:rsidR="005E0838" w:rsidRPr="00C06EDB" w:rsidRDefault="005E0838" w:rsidP="007C42EC">
            <w:pPr>
              <w:rPr>
                <w:rFonts w:ascii="Arial" w:hAnsi="Arial" w:cs="Arial"/>
                <w:sz w:val="22"/>
                <w:szCs w:val="22"/>
              </w:rPr>
            </w:pPr>
          </w:p>
        </w:tc>
        <w:tc>
          <w:tcPr>
            <w:tcW w:w="320" w:type="dxa"/>
            <w:tcBorders>
              <w:top w:val="nil"/>
              <w:left w:val="nil"/>
              <w:bottom w:val="nil"/>
              <w:right w:val="nil"/>
            </w:tcBorders>
            <w:shd w:val="clear" w:color="auto" w:fill="auto"/>
            <w:noWrap/>
            <w:vAlign w:val="bottom"/>
            <w:hideMark/>
          </w:tcPr>
          <w:p w14:paraId="5A4E06C4" w14:textId="77777777" w:rsidR="005E0838" w:rsidRPr="00C06EDB" w:rsidRDefault="005E0838" w:rsidP="007C42EC">
            <w:pPr>
              <w:rPr>
                <w:rFonts w:ascii="Arial" w:hAnsi="Arial" w:cs="Arial"/>
                <w:sz w:val="22"/>
                <w:szCs w:val="22"/>
              </w:rPr>
            </w:pPr>
          </w:p>
        </w:tc>
        <w:tc>
          <w:tcPr>
            <w:tcW w:w="3625" w:type="dxa"/>
            <w:tcBorders>
              <w:top w:val="nil"/>
              <w:left w:val="single" w:sz="8" w:space="0" w:color="auto"/>
              <w:bottom w:val="single" w:sz="8" w:space="0" w:color="auto"/>
              <w:right w:val="single" w:sz="8" w:space="0" w:color="auto"/>
            </w:tcBorders>
            <w:shd w:val="clear" w:color="auto" w:fill="auto"/>
            <w:noWrap/>
            <w:vAlign w:val="center"/>
            <w:hideMark/>
          </w:tcPr>
          <w:p w14:paraId="7E6661A5" w14:textId="77777777" w:rsidR="005E0838" w:rsidRPr="00C06EDB" w:rsidRDefault="005E0838" w:rsidP="007C42EC">
            <w:pPr>
              <w:rPr>
                <w:rFonts w:ascii="Arial" w:hAnsi="Arial" w:cs="Arial"/>
                <w:color w:val="333333"/>
                <w:sz w:val="22"/>
                <w:szCs w:val="22"/>
              </w:rPr>
            </w:pPr>
            <w:r w:rsidRPr="00C06EDB">
              <w:rPr>
                <w:rFonts w:ascii="Arial" w:hAnsi="Arial" w:cs="Arial"/>
                <w:color w:val="333333"/>
                <w:sz w:val="22"/>
                <w:szCs w:val="22"/>
              </w:rPr>
              <w:t>White</w:t>
            </w:r>
          </w:p>
        </w:tc>
        <w:tc>
          <w:tcPr>
            <w:tcW w:w="1170" w:type="dxa"/>
            <w:tcBorders>
              <w:top w:val="nil"/>
              <w:left w:val="nil"/>
              <w:bottom w:val="single" w:sz="8" w:space="0" w:color="auto"/>
              <w:right w:val="single" w:sz="8" w:space="0" w:color="auto"/>
            </w:tcBorders>
            <w:shd w:val="clear" w:color="auto" w:fill="auto"/>
            <w:noWrap/>
            <w:vAlign w:val="center"/>
            <w:hideMark/>
          </w:tcPr>
          <w:p w14:paraId="38BCEBFB" w14:textId="216B8321" w:rsidR="005E0838" w:rsidRPr="00C06EDB" w:rsidRDefault="00A645D0" w:rsidP="007C42EC">
            <w:pPr>
              <w:jc w:val="right"/>
              <w:rPr>
                <w:rFonts w:ascii="Arial" w:hAnsi="Arial" w:cs="Arial"/>
                <w:color w:val="333333"/>
                <w:sz w:val="22"/>
                <w:szCs w:val="22"/>
              </w:rPr>
            </w:pPr>
            <w:r>
              <w:rPr>
                <w:rFonts w:ascii="Arial" w:hAnsi="Arial" w:cs="Arial"/>
                <w:color w:val="333333"/>
                <w:sz w:val="22"/>
                <w:szCs w:val="22"/>
              </w:rPr>
              <w:t>58.3</w:t>
            </w:r>
            <w:r w:rsidR="005E0838" w:rsidRPr="00C06EDB">
              <w:rPr>
                <w:rFonts w:ascii="Arial" w:hAnsi="Arial" w:cs="Arial"/>
                <w:color w:val="333333"/>
                <w:sz w:val="22"/>
                <w:szCs w:val="22"/>
              </w:rPr>
              <w:t>%</w:t>
            </w:r>
          </w:p>
        </w:tc>
      </w:tr>
      <w:tr w:rsidR="005E0838" w:rsidRPr="00C06EDB" w14:paraId="2F223374" w14:textId="77777777" w:rsidTr="007C42EC">
        <w:trPr>
          <w:trHeight w:val="315"/>
        </w:trPr>
        <w:tc>
          <w:tcPr>
            <w:tcW w:w="2140" w:type="dxa"/>
            <w:tcBorders>
              <w:top w:val="nil"/>
              <w:left w:val="nil"/>
              <w:bottom w:val="nil"/>
              <w:right w:val="nil"/>
            </w:tcBorders>
            <w:shd w:val="clear" w:color="auto" w:fill="auto"/>
            <w:noWrap/>
            <w:vAlign w:val="bottom"/>
            <w:hideMark/>
          </w:tcPr>
          <w:p w14:paraId="534E07F5" w14:textId="77777777" w:rsidR="005E0838" w:rsidRPr="00C06EDB" w:rsidRDefault="005E0838" w:rsidP="007C42EC">
            <w:pPr>
              <w:jc w:val="right"/>
              <w:rPr>
                <w:rFonts w:ascii="Arial" w:hAnsi="Arial" w:cs="Arial"/>
                <w:color w:val="333333"/>
                <w:sz w:val="22"/>
                <w:szCs w:val="22"/>
              </w:rPr>
            </w:pPr>
          </w:p>
        </w:tc>
        <w:tc>
          <w:tcPr>
            <w:tcW w:w="960" w:type="dxa"/>
            <w:tcBorders>
              <w:top w:val="nil"/>
              <w:left w:val="nil"/>
              <w:bottom w:val="nil"/>
              <w:right w:val="nil"/>
            </w:tcBorders>
            <w:shd w:val="clear" w:color="auto" w:fill="auto"/>
            <w:noWrap/>
            <w:vAlign w:val="bottom"/>
            <w:hideMark/>
          </w:tcPr>
          <w:p w14:paraId="73941CE4" w14:textId="77777777" w:rsidR="005E0838" w:rsidRPr="00C06EDB" w:rsidRDefault="005E0838" w:rsidP="007C42EC">
            <w:pPr>
              <w:rPr>
                <w:rFonts w:ascii="Arial" w:hAnsi="Arial" w:cs="Arial"/>
                <w:sz w:val="22"/>
                <w:szCs w:val="22"/>
              </w:rPr>
            </w:pPr>
          </w:p>
        </w:tc>
        <w:tc>
          <w:tcPr>
            <w:tcW w:w="340" w:type="dxa"/>
            <w:tcBorders>
              <w:top w:val="nil"/>
              <w:left w:val="nil"/>
              <w:bottom w:val="nil"/>
              <w:right w:val="nil"/>
            </w:tcBorders>
            <w:shd w:val="clear" w:color="auto" w:fill="auto"/>
            <w:noWrap/>
            <w:vAlign w:val="bottom"/>
            <w:hideMark/>
          </w:tcPr>
          <w:p w14:paraId="14253D55" w14:textId="77777777" w:rsidR="005E0838" w:rsidRPr="00C06EDB" w:rsidRDefault="005E0838" w:rsidP="007C42EC">
            <w:pPr>
              <w:rPr>
                <w:rFonts w:ascii="Arial" w:hAnsi="Arial" w:cs="Arial"/>
                <w:sz w:val="22"/>
                <w:szCs w:val="22"/>
              </w:rPr>
            </w:pPr>
          </w:p>
        </w:tc>
        <w:tc>
          <w:tcPr>
            <w:tcW w:w="915" w:type="dxa"/>
            <w:tcBorders>
              <w:top w:val="nil"/>
              <w:left w:val="nil"/>
              <w:bottom w:val="nil"/>
              <w:right w:val="nil"/>
            </w:tcBorders>
            <w:shd w:val="clear" w:color="auto" w:fill="auto"/>
            <w:noWrap/>
            <w:vAlign w:val="bottom"/>
            <w:hideMark/>
          </w:tcPr>
          <w:p w14:paraId="73AEABEF" w14:textId="77777777" w:rsidR="005E0838" w:rsidRPr="00C06EDB" w:rsidRDefault="005E0838" w:rsidP="007C42EC">
            <w:pPr>
              <w:rPr>
                <w:rFonts w:ascii="Arial" w:hAnsi="Arial" w:cs="Arial"/>
                <w:sz w:val="22"/>
                <w:szCs w:val="22"/>
              </w:rPr>
            </w:pPr>
          </w:p>
        </w:tc>
        <w:tc>
          <w:tcPr>
            <w:tcW w:w="960" w:type="dxa"/>
            <w:tcBorders>
              <w:top w:val="nil"/>
              <w:left w:val="nil"/>
              <w:bottom w:val="nil"/>
              <w:right w:val="nil"/>
            </w:tcBorders>
            <w:shd w:val="clear" w:color="auto" w:fill="auto"/>
            <w:noWrap/>
            <w:vAlign w:val="bottom"/>
            <w:hideMark/>
          </w:tcPr>
          <w:p w14:paraId="0F06E9A9" w14:textId="77777777" w:rsidR="005E0838" w:rsidRPr="00C06EDB" w:rsidRDefault="005E0838" w:rsidP="007C42EC">
            <w:pPr>
              <w:rPr>
                <w:rFonts w:ascii="Arial" w:hAnsi="Arial" w:cs="Arial"/>
                <w:sz w:val="22"/>
                <w:szCs w:val="22"/>
              </w:rPr>
            </w:pPr>
          </w:p>
        </w:tc>
        <w:tc>
          <w:tcPr>
            <w:tcW w:w="320" w:type="dxa"/>
            <w:tcBorders>
              <w:top w:val="nil"/>
              <w:left w:val="nil"/>
              <w:bottom w:val="nil"/>
              <w:right w:val="nil"/>
            </w:tcBorders>
            <w:shd w:val="clear" w:color="auto" w:fill="auto"/>
            <w:noWrap/>
            <w:vAlign w:val="bottom"/>
            <w:hideMark/>
          </w:tcPr>
          <w:p w14:paraId="173EB95C" w14:textId="77777777" w:rsidR="005E0838" w:rsidRPr="00C06EDB" w:rsidRDefault="005E0838" w:rsidP="007C42EC">
            <w:pPr>
              <w:rPr>
                <w:rFonts w:ascii="Arial" w:hAnsi="Arial" w:cs="Arial"/>
                <w:sz w:val="22"/>
                <w:szCs w:val="22"/>
              </w:rPr>
            </w:pPr>
          </w:p>
        </w:tc>
        <w:tc>
          <w:tcPr>
            <w:tcW w:w="3625" w:type="dxa"/>
            <w:tcBorders>
              <w:top w:val="single" w:sz="8" w:space="0" w:color="auto"/>
              <w:left w:val="single" w:sz="8" w:space="0" w:color="auto"/>
              <w:bottom w:val="single" w:sz="8" w:space="0" w:color="auto"/>
              <w:right w:val="single" w:sz="8" w:space="0" w:color="auto"/>
            </w:tcBorders>
            <w:shd w:val="clear" w:color="auto" w:fill="4F81BD" w:themeFill="accent1"/>
            <w:noWrap/>
            <w:vAlign w:val="center"/>
            <w:hideMark/>
          </w:tcPr>
          <w:p w14:paraId="5C59C467" w14:textId="77777777" w:rsidR="005E0838" w:rsidRPr="00C06EDB" w:rsidRDefault="005E0838" w:rsidP="007C42EC">
            <w:pPr>
              <w:rPr>
                <w:rFonts w:ascii="Arial" w:hAnsi="Arial" w:cs="Arial"/>
                <w:b/>
                <w:bCs/>
                <w:color w:val="FFFFFF" w:themeColor="background1"/>
                <w:sz w:val="22"/>
                <w:szCs w:val="22"/>
              </w:rPr>
            </w:pPr>
            <w:r w:rsidRPr="00C06EDB">
              <w:rPr>
                <w:rFonts w:ascii="Arial" w:hAnsi="Arial" w:cs="Arial"/>
                <w:b/>
                <w:bCs/>
                <w:color w:val="FFFFFF" w:themeColor="background1"/>
                <w:sz w:val="22"/>
                <w:szCs w:val="22"/>
              </w:rPr>
              <w:t>Total</w:t>
            </w:r>
          </w:p>
        </w:tc>
        <w:tc>
          <w:tcPr>
            <w:tcW w:w="1170" w:type="dxa"/>
            <w:tcBorders>
              <w:top w:val="single" w:sz="8" w:space="0" w:color="auto"/>
              <w:left w:val="nil"/>
              <w:bottom w:val="single" w:sz="8" w:space="0" w:color="auto"/>
              <w:right w:val="single" w:sz="8" w:space="0" w:color="auto"/>
            </w:tcBorders>
            <w:shd w:val="clear" w:color="auto" w:fill="4F81BD" w:themeFill="accent1"/>
            <w:noWrap/>
            <w:vAlign w:val="center"/>
            <w:hideMark/>
          </w:tcPr>
          <w:p w14:paraId="7AD09648" w14:textId="77777777" w:rsidR="005E0838" w:rsidRPr="00C06EDB" w:rsidRDefault="005E0838" w:rsidP="007C42EC">
            <w:pPr>
              <w:jc w:val="right"/>
              <w:rPr>
                <w:rFonts w:ascii="Arial" w:hAnsi="Arial" w:cs="Arial"/>
                <w:b/>
                <w:bCs/>
                <w:color w:val="FFFFFF" w:themeColor="background1"/>
                <w:sz w:val="22"/>
                <w:szCs w:val="22"/>
              </w:rPr>
            </w:pPr>
            <w:r w:rsidRPr="00C06EDB">
              <w:rPr>
                <w:rFonts w:ascii="Arial" w:hAnsi="Arial" w:cs="Arial"/>
                <w:b/>
                <w:bCs/>
                <w:color w:val="FFFFFF" w:themeColor="background1"/>
                <w:sz w:val="22"/>
                <w:szCs w:val="22"/>
              </w:rPr>
              <w:t>100.0%</w:t>
            </w:r>
          </w:p>
        </w:tc>
      </w:tr>
    </w:tbl>
    <w:p w14:paraId="1B3A048B" w14:textId="77777777" w:rsidR="0061469E" w:rsidRDefault="0061469E" w:rsidP="001F3253">
      <w:pPr>
        <w:spacing w:before="120"/>
      </w:pPr>
    </w:p>
    <w:p w14:paraId="6682408B" w14:textId="7B0DBE88" w:rsidR="004C7A74" w:rsidRPr="00AC162B" w:rsidRDefault="004C7A74" w:rsidP="001F3253">
      <w:pPr>
        <w:pStyle w:val="FormFieldCaption"/>
        <w:spacing w:after="120"/>
        <w:rPr>
          <w:bCs/>
          <w:sz w:val="22"/>
          <w:szCs w:val="22"/>
          <w:u w:val="single"/>
        </w:rPr>
      </w:pPr>
      <w:r w:rsidRPr="006E540C">
        <w:rPr>
          <w:sz w:val="22"/>
          <w:szCs w:val="22"/>
          <w:u w:val="single"/>
        </w:rPr>
        <w:t>Office:</w:t>
      </w:r>
      <w:r w:rsidRPr="0057745D">
        <w:rPr>
          <w:sz w:val="22"/>
          <w:szCs w:val="22"/>
        </w:rPr>
        <w:t xml:space="preserve"> Each Investigator has approximately 100-120 square feet of space located close to their laboratories.</w:t>
      </w:r>
    </w:p>
    <w:p w14:paraId="26024905" w14:textId="28734AE8" w:rsidR="004C7A74" w:rsidRDefault="004C7A74" w:rsidP="001F3253">
      <w:pPr>
        <w:tabs>
          <w:tab w:val="left" w:pos="180"/>
          <w:tab w:val="left" w:pos="504"/>
          <w:tab w:val="left" w:pos="720"/>
          <w:tab w:val="left" w:pos="1008"/>
          <w:tab w:val="left" w:pos="1440"/>
          <w:tab w:val="left" w:pos="1638"/>
          <w:tab w:val="left" w:pos="1890"/>
          <w:tab w:val="left" w:pos="2160"/>
          <w:tab w:val="left" w:pos="2394"/>
          <w:tab w:val="left" w:pos="2646"/>
          <w:tab w:val="left" w:pos="2880"/>
          <w:tab w:val="left" w:pos="3150"/>
          <w:tab w:val="left" w:pos="3402"/>
          <w:tab w:val="left" w:pos="3654"/>
          <w:tab w:val="left" w:pos="3906"/>
          <w:tab w:val="left" w:pos="4320"/>
          <w:tab w:val="left" w:pos="4536"/>
          <w:tab w:val="left" w:pos="4788"/>
          <w:tab w:val="left" w:pos="5292"/>
          <w:tab w:val="left" w:pos="5544"/>
          <w:tab w:val="left" w:pos="5760"/>
          <w:tab w:val="left" w:pos="6480"/>
          <w:tab w:val="left" w:pos="7200"/>
          <w:tab w:val="left" w:pos="7920"/>
          <w:tab w:val="left" w:pos="8640"/>
          <w:tab w:val="left" w:pos="9360"/>
          <w:tab w:val="left" w:pos="10080"/>
          <w:tab w:val="left" w:pos="10800"/>
        </w:tabs>
        <w:spacing w:after="120"/>
        <w:rPr>
          <w:rFonts w:ascii="Arial" w:hAnsi="Arial" w:cs="Arial"/>
          <w:b/>
          <w:sz w:val="22"/>
          <w:szCs w:val="22"/>
        </w:rPr>
      </w:pPr>
      <w:r w:rsidRPr="006E540C">
        <w:rPr>
          <w:rFonts w:ascii="Arial" w:hAnsi="Arial" w:cs="Arial"/>
          <w:sz w:val="22"/>
          <w:szCs w:val="22"/>
          <w:u w:val="single"/>
        </w:rPr>
        <w:t>Pharmacy</w:t>
      </w:r>
      <w:r w:rsidRPr="006E540C">
        <w:rPr>
          <w:rFonts w:ascii="Arial" w:hAnsi="Arial" w:cs="Arial"/>
          <w:sz w:val="22"/>
          <w:szCs w:val="22"/>
        </w:rPr>
        <w:t>:</w:t>
      </w:r>
      <w:r w:rsidRPr="004C7A74">
        <w:rPr>
          <w:rFonts w:ascii="Arial" w:hAnsi="Arial" w:cs="Arial"/>
          <w:b/>
          <w:sz w:val="22"/>
          <w:szCs w:val="22"/>
        </w:rPr>
        <w:t xml:space="preserve"> </w:t>
      </w:r>
      <w:r w:rsidRPr="004C7A74">
        <w:rPr>
          <w:rFonts w:ascii="Arial" w:hAnsi="Arial" w:cs="Arial"/>
          <w:sz w:val="22"/>
          <w:szCs w:val="22"/>
        </w:rPr>
        <w:t>The Pharmacy Department provides comprehensive inpatient and outpatient pharmaceutical services, including 24-hour unit dose, IV admixture, and outpatient dispensing. In addition, the Department operates an Investigational Drug Service (IDS) that is responsible for the storage, disposition, and maintenance of records for all investigational drugs used within the institution. Policies and procedures in compliance with GCP guidelines are employed. A copy of the Pharmacy Department Policy and Procedures for investigational drugs may be obtained upon further request.</w:t>
      </w:r>
    </w:p>
    <w:p w14:paraId="6D51F678" w14:textId="77777777" w:rsidR="00A648C8" w:rsidRPr="00BA4C1A" w:rsidRDefault="00A648C8" w:rsidP="00A648C8">
      <w:pPr>
        <w:spacing w:before="100" w:beforeAutospacing="1"/>
        <w:outlineLvl w:val="3"/>
        <w:rPr>
          <w:rFonts w:ascii="Arial" w:hAnsi="Arial" w:cs="Arial"/>
          <w:b/>
          <w:bCs/>
          <w:color w:val="000000"/>
          <w:sz w:val="22"/>
          <w:szCs w:val="22"/>
        </w:rPr>
      </w:pPr>
      <w:r w:rsidRPr="00BA4C1A">
        <w:rPr>
          <w:rFonts w:ascii="Arial" w:hAnsi="Arial" w:cs="Arial"/>
          <w:b/>
          <w:bCs/>
          <w:color w:val="000000"/>
          <w:sz w:val="22"/>
          <w:szCs w:val="22"/>
        </w:rPr>
        <w:t>Information Resources</w:t>
      </w:r>
    </w:p>
    <w:p w14:paraId="17D388CD" w14:textId="6A2859CF" w:rsidR="00F0052F" w:rsidRDefault="00F0052F" w:rsidP="001F3253">
      <w:pPr>
        <w:pStyle w:val="BodyText"/>
        <w:rPr>
          <w:rFonts w:ascii="Arial" w:hAnsi="Arial" w:cs="Arial"/>
          <w:sz w:val="22"/>
          <w:szCs w:val="22"/>
        </w:rPr>
      </w:pPr>
    </w:p>
    <w:p w14:paraId="0A16174E" w14:textId="77777777" w:rsidR="00ED000D" w:rsidRDefault="00ED000D" w:rsidP="00ED000D">
      <w:pPr>
        <w:spacing w:after="120"/>
        <w:rPr>
          <w:rFonts w:ascii="Arial" w:hAnsi="Arial" w:cs="Arial"/>
          <w:color w:val="212121"/>
          <w:sz w:val="22"/>
          <w:szCs w:val="22"/>
        </w:rPr>
      </w:pPr>
      <w:r>
        <w:rPr>
          <w:rFonts w:ascii="Arial" w:hAnsi="Arial" w:cs="Arial"/>
          <w:color w:val="212121"/>
          <w:sz w:val="22"/>
          <w:szCs w:val="22"/>
        </w:rPr>
        <w:t xml:space="preserve">The CMKC Information Systems (IS) group provides standard applications, systems, hardware, network and cloud resources to all Children’s Mercy campuses. </w:t>
      </w:r>
    </w:p>
    <w:p w14:paraId="0C88C15D" w14:textId="77777777" w:rsidR="00ED000D" w:rsidRDefault="00ED000D" w:rsidP="00ED000D">
      <w:pPr>
        <w:rPr>
          <w:rFonts w:ascii="Arial" w:hAnsi="Arial" w:cs="Arial"/>
          <w:color w:val="212121"/>
          <w:sz w:val="22"/>
          <w:szCs w:val="22"/>
        </w:rPr>
      </w:pPr>
      <w:r w:rsidRPr="00632B24">
        <w:rPr>
          <w:rFonts w:ascii="Arial" w:hAnsi="Arial" w:cs="Arial"/>
          <w:b/>
          <w:bCs/>
          <w:i/>
          <w:iCs/>
          <w:color w:val="212121"/>
          <w:sz w:val="22"/>
          <w:szCs w:val="22"/>
        </w:rPr>
        <w:t>Storage and compute</w:t>
      </w:r>
      <w:r w:rsidRPr="00632B24">
        <w:rPr>
          <w:rFonts w:ascii="Arial" w:hAnsi="Arial" w:cs="Arial"/>
          <w:b/>
          <w:bCs/>
          <w:color w:val="212121"/>
          <w:sz w:val="22"/>
          <w:szCs w:val="22"/>
        </w:rPr>
        <w:t>:</w:t>
      </w:r>
      <w:r>
        <w:rPr>
          <w:rFonts w:ascii="Arial" w:hAnsi="Arial" w:cs="Arial"/>
          <w:color w:val="212121"/>
          <w:sz w:val="22"/>
          <w:szCs w:val="22"/>
        </w:rPr>
        <w:t xml:space="preserve"> All CMKC users have access to secure file storage on-premises through networked individual and shared folders and in the cloud through Microsoft OneDrive and SharePoint. These resources are backed up regularly and encrypted.</w:t>
      </w:r>
      <w:r>
        <w:t xml:space="preserve"> </w:t>
      </w:r>
      <w:r>
        <w:rPr>
          <w:rFonts w:ascii="Arial" w:hAnsi="Arial" w:cs="Arial"/>
          <w:color w:val="212121"/>
          <w:sz w:val="22"/>
          <w:szCs w:val="22"/>
        </w:rPr>
        <w:t>Additional storage capacity is available to researchers with high volume data requirements. As detailed in the research equipment and resources section, high performance computing capabilities are available through the Research Data Center and through Microsoft Azure.</w:t>
      </w:r>
    </w:p>
    <w:p w14:paraId="756EBED6" w14:textId="77777777" w:rsidR="00ED000D" w:rsidRDefault="00ED000D" w:rsidP="00ED000D">
      <w:pPr>
        <w:rPr>
          <w:rFonts w:ascii="Arial" w:hAnsi="Arial" w:cs="Arial"/>
          <w:color w:val="212121"/>
          <w:sz w:val="22"/>
          <w:szCs w:val="22"/>
        </w:rPr>
      </w:pPr>
    </w:p>
    <w:p w14:paraId="349BFE78" w14:textId="77777777" w:rsidR="00ED000D" w:rsidRDefault="00ED000D" w:rsidP="00ED000D">
      <w:pPr>
        <w:spacing w:after="120"/>
        <w:rPr>
          <w:rFonts w:ascii="Arial" w:hAnsi="Arial" w:cs="Arial"/>
          <w:color w:val="212121"/>
          <w:sz w:val="22"/>
          <w:szCs w:val="22"/>
        </w:rPr>
      </w:pPr>
      <w:r w:rsidRPr="00632B24">
        <w:rPr>
          <w:rFonts w:ascii="Arial" w:hAnsi="Arial" w:cs="Arial"/>
          <w:b/>
          <w:bCs/>
          <w:i/>
          <w:iCs/>
          <w:color w:val="212121"/>
          <w:sz w:val="22"/>
          <w:szCs w:val="22"/>
        </w:rPr>
        <w:t>Network</w:t>
      </w:r>
      <w:r w:rsidRPr="00632B24">
        <w:rPr>
          <w:rFonts w:ascii="Arial" w:hAnsi="Arial" w:cs="Arial"/>
          <w:b/>
          <w:bCs/>
          <w:color w:val="212121"/>
          <w:sz w:val="22"/>
          <w:szCs w:val="22"/>
        </w:rPr>
        <w:t>:</w:t>
      </w:r>
      <w:r>
        <w:rPr>
          <w:rFonts w:ascii="Arial" w:hAnsi="Arial" w:cs="Arial"/>
          <w:color w:val="212121"/>
          <w:sz w:val="22"/>
          <w:szCs w:val="22"/>
        </w:rPr>
        <w:t xml:space="preserve"> The Adele Hall network includes wireless 802.11ax connectivity. The </w:t>
      </w:r>
      <w:r w:rsidRPr="006A1CE9">
        <w:rPr>
          <w:rFonts w:ascii="Arial" w:hAnsi="Arial" w:cs="Arial"/>
          <w:color w:val="000000" w:themeColor="text1"/>
          <w:sz w:val="22"/>
          <w:szCs w:val="22"/>
        </w:rPr>
        <w:t xml:space="preserve">buildings at the Adele Hall campus, Crown Center, and Children’s Mercy Kansas are connected through dark fiber providing 10-GB gigabit connectivity. The network is connected to the internet through a 1-GB connection and the CMRI has access to 1 GB and 10-GB dedicated Microsoft Express Route connections. Secure </w:t>
      </w:r>
      <w:r>
        <w:rPr>
          <w:rFonts w:ascii="Arial" w:hAnsi="Arial" w:cs="Arial"/>
          <w:color w:val="000000" w:themeColor="text1"/>
          <w:sz w:val="22"/>
          <w:szCs w:val="22"/>
        </w:rPr>
        <w:t>FTP</w:t>
      </w:r>
      <w:r w:rsidRPr="006A1CE9">
        <w:rPr>
          <w:rFonts w:ascii="Arial" w:hAnsi="Arial" w:cs="Arial"/>
          <w:color w:val="000000" w:themeColor="text1"/>
          <w:sz w:val="22"/>
          <w:szCs w:val="22"/>
        </w:rPr>
        <w:t xml:space="preserve"> capabilities are available for projects that require the secure transfer of data </w:t>
      </w:r>
      <w:r>
        <w:rPr>
          <w:rFonts w:ascii="Arial" w:hAnsi="Arial" w:cs="Arial"/>
          <w:color w:val="212121"/>
          <w:sz w:val="22"/>
          <w:szCs w:val="22"/>
        </w:rPr>
        <w:t>files between CMKC and collaborating organizations. The CMRI uses the Cisco cloud PBX for telephony.</w:t>
      </w:r>
    </w:p>
    <w:p w14:paraId="5F7E1CA1" w14:textId="77777777" w:rsidR="00ED000D" w:rsidRDefault="00ED000D" w:rsidP="00ED000D">
      <w:pPr>
        <w:spacing w:after="120"/>
        <w:rPr>
          <w:rFonts w:ascii="Arial" w:hAnsi="Arial" w:cs="Arial"/>
          <w:color w:val="212121"/>
          <w:sz w:val="22"/>
          <w:szCs w:val="22"/>
        </w:rPr>
      </w:pPr>
      <w:r w:rsidRPr="00632B24">
        <w:rPr>
          <w:rFonts w:ascii="Arial" w:hAnsi="Arial" w:cs="Arial"/>
          <w:b/>
          <w:bCs/>
          <w:i/>
          <w:iCs/>
          <w:color w:val="212121"/>
          <w:sz w:val="22"/>
          <w:szCs w:val="22"/>
        </w:rPr>
        <w:t>Applications</w:t>
      </w:r>
      <w:r w:rsidRPr="00632B24">
        <w:rPr>
          <w:rFonts w:ascii="Arial" w:hAnsi="Arial" w:cs="Arial"/>
          <w:b/>
          <w:bCs/>
          <w:color w:val="212121"/>
          <w:sz w:val="22"/>
          <w:szCs w:val="22"/>
        </w:rPr>
        <w:t>:</w:t>
      </w:r>
      <w:r>
        <w:rPr>
          <w:rFonts w:ascii="Arial" w:hAnsi="Arial" w:cs="Arial"/>
          <w:color w:val="212121"/>
          <w:sz w:val="22"/>
          <w:szCs w:val="22"/>
        </w:rPr>
        <w:t xml:space="preserve"> All CMKC employees have access to Office 365 which provides the Office Suite, OneDrive for file storage and sharing, Teams for communication and collaboration and secure Exchange email. All emails are scanned for malicious attachments. SharePoint is widely utilized for additional collaboration. Clinicians use the Oracle Health (formerly Cerner) Electronic Health Record (EHR). HR and administrative functions are supported through the Infor Cloud Suite.</w:t>
      </w:r>
    </w:p>
    <w:p w14:paraId="041D40EE" w14:textId="77777777" w:rsidR="00ED000D" w:rsidRDefault="00ED000D" w:rsidP="00ED000D">
      <w:pPr>
        <w:spacing w:after="120"/>
        <w:rPr>
          <w:rFonts w:ascii="Arial" w:hAnsi="Arial" w:cs="Arial"/>
          <w:color w:val="212121"/>
          <w:sz w:val="22"/>
          <w:szCs w:val="22"/>
        </w:rPr>
      </w:pPr>
      <w:r w:rsidRPr="00632B24">
        <w:rPr>
          <w:rFonts w:ascii="Arial" w:hAnsi="Arial" w:cs="Arial"/>
          <w:b/>
          <w:bCs/>
          <w:i/>
          <w:iCs/>
          <w:color w:val="212121"/>
          <w:sz w:val="22"/>
          <w:szCs w:val="22"/>
        </w:rPr>
        <w:lastRenderedPageBreak/>
        <w:t>Cybersecurity</w:t>
      </w:r>
      <w:r w:rsidRPr="00632B24">
        <w:rPr>
          <w:rFonts w:ascii="Arial" w:hAnsi="Arial" w:cs="Arial"/>
          <w:b/>
          <w:bCs/>
          <w:color w:val="212121"/>
          <w:sz w:val="22"/>
          <w:szCs w:val="22"/>
        </w:rPr>
        <w:t>:</w:t>
      </w:r>
      <w:r>
        <w:rPr>
          <w:rFonts w:ascii="Arial" w:hAnsi="Arial" w:cs="Arial"/>
          <w:color w:val="212121"/>
          <w:sz w:val="22"/>
          <w:szCs w:val="22"/>
        </w:rPr>
        <w:t xml:space="preserve"> All CMKC workstations are secured through </w:t>
      </w:r>
      <w:proofErr w:type="spellStart"/>
      <w:r>
        <w:rPr>
          <w:rFonts w:ascii="Arial" w:hAnsi="Arial" w:cs="Arial"/>
          <w:color w:val="212121"/>
          <w:sz w:val="22"/>
          <w:szCs w:val="22"/>
        </w:rPr>
        <w:t>SentinelOne</w:t>
      </w:r>
      <w:proofErr w:type="spellEnd"/>
      <w:r>
        <w:rPr>
          <w:rFonts w:ascii="Arial" w:hAnsi="Arial" w:cs="Arial"/>
          <w:color w:val="212121"/>
          <w:sz w:val="22"/>
          <w:szCs w:val="22"/>
        </w:rPr>
        <w:t xml:space="preserve"> antivirus, Cisco AnyConnect endpoint protection, Qualys vulnerability scans, and additional network/firewall security measures. All CMKC users working off campus or accessing resources remotely use multi-factor authentication (MFA). All CMKC users receive regular security awareness training.</w:t>
      </w:r>
    </w:p>
    <w:p w14:paraId="7150A846" w14:textId="77777777" w:rsidR="00ED000D" w:rsidRDefault="00ED000D" w:rsidP="00ED000D">
      <w:pPr>
        <w:spacing w:after="120"/>
        <w:rPr>
          <w:rFonts w:ascii="Arial" w:hAnsi="Arial" w:cs="Arial"/>
          <w:color w:val="212121"/>
          <w:sz w:val="22"/>
          <w:szCs w:val="22"/>
        </w:rPr>
      </w:pPr>
      <w:r w:rsidRPr="00632B24">
        <w:rPr>
          <w:rFonts w:ascii="Arial" w:hAnsi="Arial" w:cs="Arial"/>
          <w:b/>
          <w:bCs/>
          <w:i/>
          <w:iCs/>
          <w:color w:val="212121"/>
          <w:sz w:val="22"/>
          <w:szCs w:val="22"/>
        </w:rPr>
        <w:t>Support</w:t>
      </w:r>
      <w:r w:rsidRPr="00632B24">
        <w:rPr>
          <w:rFonts w:ascii="Arial" w:hAnsi="Arial" w:cs="Arial"/>
          <w:b/>
          <w:bCs/>
          <w:color w:val="212121"/>
          <w:sz w:val="22"/>
          <w:szCs w:val="22"/>
        </w:rPr>
        <w:t>:</w:t>
      </w:r>
      <w:r>
        <w:rPr>
          <w:rFonts w:ascii="Arial" w:hAnsi="Arial" w:cs="Arial"/>
          <w:color w:val="212121"/>
          <w:sz w:val="22"/>
          <w:szCs w:val="22"/>
        </w:rPr>
        <w:t xml:space="preserve"> The IS group provides support for all standard CMH systems through a 24x7x365 Help Desk. Software and hardware are purchased and deployed through a standard process.</w:t>
      </w:r>
    </w:p>
    <w:p w14:paraId="3E548003" w14:textId="77777777" w:rsidR="00ED000D" w:rsidRDefault="00ED000D" w:rsidP="00ED000D">
      <w:pPr>
        <w:spacing w:after="120"/>
        <w:rPr>
          <w:rFonts w:ascii="Arial" w:hAnsi="Arial" w:cs="Arial"/>
          <w:color w:val="212121"/>
          <w:sz w:val="22"/>
          <w:szCs w:val="22"/>
        </w:rPr>
      </w:pPr>
      <w:r w:rsidRPr="00632B24">
        <w:rPr>
          <w:rFonts w:ascii="Arial" w:hAnsi="Arial" w:cs="Arial"/>
          <w:b/>
          <w:bCs/>
          <w:i/>
          <w:iCs/>
          <w:color w:val="212121"/>
          <w:sz w:val="22"/>
          <w:szCs w:val="22"/>
        </w:rPr>
        <w:t>Governance</w:t>
      </w:r>
      <w:r w:rsidRPr="00632B24">
        <w:rPr>
          <w:rFonts w:ascii="Arial" w:hAnsi="Arial" w:cs="Arial"/>
          <w:b/>
          <w:bCs/>
          <w:color w:val="212121"/>
          <w:sz w:val="22"/>
          <w:szCs w:val="22"/>
        </w:rPr>
        <w:t>:</w:t>
      </w:r>
      <w:r>
        <w:rPr>
          <w:rFonts w:ascii="Arial" w:hAnsi="Arial" w:cs="Arial"/>
          <w:color w:val="212121"/>
          <w:sz w:val="22"/>
          <w:szCs w:val="22"/>
        </w:rPr>
        <w:t xml:space="preserve"> IS policies and procedures are reviewed regularly by stakeholders including compliance, legal and senior leadership. CMKC has begun to formalize data governance.</w:t>
      </w:r>
    </w:p>
    <w:p w14:paraId="4ABFD339" w14:textId="77777777" w:rsidR="00ED000D" w:rsidRPr="0057745D" w:rsidRDefault="00ED000D" w:rsidP="00ED000D">
      <w:pPr>
        <w:spacing w:after="120"/>
        <w:rPr>
          <w:rFonts w:ascii="Arial" w:hAnsi="Arial" w:cs="Arial"/>
          <w:sz w:val="22"/>
          <w:szCs w:val="22"/>
        </w:rPr>
      </w:pPr>
      <w:r w:rsidRPr="00A4074B">
        <w:rPr>
          <w:rFonts w:ascii="Arial" w:hAnsi="Arial" w:cs="Arial"/>
          <w:b/>
          <w:bCs/>
          <w:i/>
          <w:iCs/>
          <w:sz w:val="22"/>
          <w:szCs w:val="22"/>
        </w:rPr>
        <w:t>Secure File Exchange:</w:t>
      </w:r>
      <w:r w:rsidRPr="0057745D">
        <w:rPr>
          <w:rFonts w:ascii="Arial" w:hAnsi="Arial" w:cs="Arial"/>
          <w:sz w:val="22"/>
          <w:szCs w:val="22"/>
        </w:rPr>
        <w:t xml:space="preserve"> CMH has Secure Transport appliances that use SSH, SFTP, and FTPS protocols to allow researchers to transmit and receive large datasets manually or automatically.</w:t>
      </w:r>
    </w:p>
    <w:p w14:paraId="3C170D45" w14:textId="77777777" w:rsidR="00ED000D" w:rsidRPr="0057745D" w:rsidRDefault="00ED000D" w:rsidP="00ED000D">
      <w:pPr>
        <w:spacing w:after="120"/>
        <w:rPr>
          <w:rFonts w:ascii="Arial" w:hAnsi="Arial" w:cs="Arial"/>
          <w:sz w:val="22"/>
          <w:szCs w:val="22"/>
        </w:rPr>
      </w:pPr>
      <w:r w:rsidRPr="00A4074B">
        <w:rPr>
          <w:rFonts w:ascii="Arial" w:hAnsi="Arial" w:cs="Arial"/>
          <w:b/>
          <w:bCs/>
          <w:i/>
          <w:iCs/>
          <w:sz w:val="22"/>
          <w:szCs w:val="22"/>
        </w:rPr>
        <w:t>Electronic Health Record</w:t>
      </w:r>
      <w:r w:rsidRPr="00BA5C3F">
        <w:rPr>
          <w:rFonts w:ascii="Arial" w:hAnsi="Arial" w:cs="Arial"/>
          <w:i/>
          <w:iCs/>
          <w:sz w:val="22"/>
          <w:szCs w:val="22"/>
        </w:rPr>
        <w:t xml:space="preserve"> (EHR): </w:t>
      </w:r>
      <w:r w:rsidRPr="0057745D">
        <w:rPr>
          <w:rFonts w:ascii="Arial" w:hAnsi="Arial" w:cs="Arial"/>
          <w:sz w:val="22"/>
          <w:szCs w:val="22"/>
        </w:rPr>
        <w:t xml:space="preserve">Children’s Mercy (CMH) uses </w:t>
      </w:r>
      <w:r>
        <w:rPr>
          <w:rFonts w:ascii="Arial" w:hAnsi="Arial" w:cs="Arial"/>
          <w:b/>
          <w:bCs/>
          <w:sz w:val="22"/>
          <w:szCs w:val="22"/>
        </w:rPr>
        <w:t>Oracle Health</w:t>
      </w:r>
      <w:r w:rsidRPr="0057745D">
        <w:rPr>
          <w:rFonts w:ascii="Arial" w:hAnsi="Arial" w:cs="Arial"/>
          <w:b/>
          <w:bCs/>
          <w:sz w:val="22"/>
          <w:szCs w:val="22"/>
        </w:rPr>
        <w:t xml:space="preserve"> Millennium</w:t>
      </w:r>
      <w:r w:rsidRPr="0057745D">
        <w:rPr>
          <w:rFonts w:ascii="Arial" w:hAnsi="Arial" w:cs="Arial"/>
          <w:sz w:val="22"/>
          <w:szCs w:val="22"/>
        </w:rPr>
        <w:t xml:space="preserve">, a limited access </w:t>
      </w:r>
      <w:r>
        <w:rPr>
          <w:rFonts w:ascii="Arial" w:hAnsi="Arial" w:cs="Arial"/>
          <w:sz w:val="22"/>
          <w:szCs w:val="22"/>
        </w:rPr>
        <w:t>EH</w:t>
      </w:r>
      <w:r w:rsidRPr="0057745D">
        <w:rPr>
          <w:rFonts w:ascii="Arial" w:hAnsi="Arial" w:cs="Arial"/>
          <w:sz w:val="22"/>
          <w:szCs w:val="22"/>
        </w:rPr>
        <w:t xml:space="preserve">R protected by a closed system with a dual firewall and user sign on authorization. CMH utilizes rigorous security measures, </w:t>
      </w:r>
      <w:r>
        <w:rPr>
          <w:rFonts w:ascii="Arial" w:hAnsi="Arial" w:cs="Arial"/>
          <w:sz w:val="22"/>
          <w:szCs w:val="22"/>
        </w:rPr>
        <w:t xml:space="preserve">access management, </w:t>
      </w:r>
      <w:r w:rsidRPr="0057745D">
        <w:rPr>
          <w:rFonts w:ascii="Arial" w:hAnsi="Arial" w:cs="Arial"/>
          <w:sz w:val="22"/>
          <w:szCs w:val="22"/>
        </w:rPr>
        <w:t>change management procedures, system testing, and other measures to protect the security and integrity of clinical information in the E</w:t>
      </w:r>
      <w:r>
        <w:rPr>
          <w:rFonts w:ascii="Arial" w:hAnsi="Arial" w:cs="Arial"/>
          <w:sz w:val="22"/>
          <w:szCs w:val="22"/>
        </w:rPr>
        <w:t>H</w:t>
      </w:r>
      <w:r w:rsidRPr="0057745D">
        <w:rPr>
          <w:rFonts w:ascii="Arial" w:hAnsi="Arial" w:cs="Arial"/>
          <w:sz w:val="22"/>
          <w:szCs w:val="22"/>
        </w:rPr>
        <w:t xml:space="preserve">R. </w:t>
      </w:r>
    </w:p>
    <w:p w14:paraId="5B64E88E" w14:textId="77777777" w:rsidR="00ED000D" w:rsidRPr="0057745D" w:rsidRDefault="00ED000D" w:rsidP="00ED000D">
      <w:pPr>
        <w:spacing w:after="120"/>
        <w:rPr>
          <w:rFonts w:ascii="Arial" w:hAnsi="Arial" w:cs="Arial"/>
          <w:sz w:val="22"/>
          <w:szCs w:val="22"/>
        </w:rPr>
      </w:pPr>
      <w:r w:rsidRPr="0057745D">
        <w:rPr>
          <w:rFonts w:ascii="Arial" w:hAnsi="Arial" w:cs="Arial"/>
          <w:sz w:val="22"/>
          <w:szCs w:val="22"/>
        </w:rPr>
        <w:t>Electronic signatures in the E</w:t>
      </w:r>
      <w:r>
        <w:rPr>
          <w:rFonts w:ascii="Arial" w:hAnsi="Arial" w:cs="Arial"/>
          <w:sz w:val="22"/>
          <w:szCs w:val="22"/>
        </w:rPr>
        <w:t>H</w:t>
      </w:r>
      <w:r w:rsidRPr="0057745D">
        <w:rPr>
          <w:rFonts w:ascii="Arial" w:hAnsi="Arial" w:cs="Arial"/>
          <w:sz w:val="22"/>
          <w:szCs w:val="22"/>
        </w:rPr>
        <w:t>R are validated by assignment to unique individuals, and this system employs a secure, computer-generated, time-stamped audit trail. CMH maintains written policies holding study team members accountable and responsible for their actions under their electronic signature and while using the E</w:t>
      </w:r>
      <w:r>
        <w:rPr>
          <w:rFonts w:ascii="Arial" w:hAnsi="Arial" w:cs="Arial"/>
          <w:sz w:val="22"/>
          <w:szCs w:val="22"/>
        </w:rPr>
        <w:t>H</w:t>
      </w:r>
      <w:r w:rsidRPr="0057745D">
        <w:rPr>
          <w:rFonts w:ascii="Arial" w:hAnsi="Arial" w:cs="Arial"/>
          <w:sz w:val="22"/>
          <w:szCs w:val="22"/>
        </w:rPr>
        <w:t>R while employed at CMH.</w:t>
      </w:r>
    </w:p>
    <w:p w14:paraId="493A7D48" w14:textId="77777777" w:rsidR="00ED000D" w:rsidRPr="0057745D" w:rsidRDefault="00ED000D" w:rsidP="00ED000D">
      <w:pPr>
        <w:spacing w:after="120"/>
        <w:rPr>
          <w:rFonts w:ascii="Arial" w:hAnsi="Arial" w:cs="Arial"/>
          <w:sz w:val="22"/>
          <w:szCs w:val="22"/>
        </w:rPr>
      </w:pPr>
      <w:r w:rsidRPr="0057745D">
        <w:rPr>
          <w:rFonts w:ascii="Arial" w:hAnsi="Arial" w:cs="Arial"/>
          <w:sz w:val="22"/>
          <w:szCs w:val="22"/>
        </w:rPr>
        <w:t>CMH patient care records can be generated</w:t>
      </w:r>
      <w:r>
        <w:rPr>
          <w:rFonts w:ascii="Arial" w:hAnsi="Arial" w:cs="Arial"/>
          <w:sz w:val="22"/>
          <w:szCs w:val="22"/>
        </w:rPr>
        <w:t>,</w:t>
      </w:r>
      <w:r w:rsidRPr="0057745D">
        <w:rPr>
          <w:rFonts w:ascii="Arial" w:hAnsi="Arial" w:cs="Arial"/>
          <w:sz w:val="22"/>
          <w:szCs w:val="22"/>
        </w:rPr>
        <w:t xml:space="preserve"> and complete copies may be obtained for inspection, review, and copy by a sponsor or their designated representative, as appropriate. </w:t>
      </w:r>
    </w:p>
    <w:p w14:paraId="63E509FF" w14:textId="77777777" w:rsidR="00ED000D" w:rsidRPr="0057745D" w:rsidRDefault="00ED000D" w:rsidP="00ED000D">
      <w:pPr>
        <w:spacing w:after="120"/>
        <w:rPr>
          <w:rFonts w:ascii="Arial" w:hAnsi="Arial" w:cs="Arial"/>
          <w:sz w:val="22"/>
          <w:szCs w:val="22"/>
        </w:rPr>
      </w:pPr>
      <w:r>
        <w:rPr>
          <w:rFonts w:ascii="Arial" w:hAnsi="Arial" w:cs="Arial"/>
          <w:sz w:val="22"/>
          <w:szCs w:val="22"/>
        </w:rPr>
        <w:t>Oracle Health</w:t>
      </w:r>
      <w:r w:rsidRPr="0057745D">
        <w:rPr>
          <w:rFonts w:ascii="Arial" w:hAnsi="Arial" w:cs="Arial"/>
          <w:sz w:val="22"/>
          <w:szCs w:val="22"/>
        </w:rPr>
        <w:t xml:space="preserve"> Millennium complies with the Health Information Portability and Accountability Act (HIPAA) and has been certified to fulfill the HITECH Act of 2009 Meaningful Use requirements.</w:t>
      </w:r>
    </w:p>
    <w:p w14:paraId="64BD697B" w14:textId="77777777" w:rsidR="00ED000D" w:rsidRPr="00A4074B" w:rsidRDefault="00ED000D" w:rsidP="00ED000D">
      <w:pPr>
        <w:pStyle w:val="FormFieldCaption"/>
        <w:spacing w:after="120"/>
        <w:rPr>
          <w:b/>
          <w:bCs/>
          <w:sz w:val="22"/>
          <w:szCs w:val="22"/>
          <w:u w:val="single"/>
        </w:rPr>
      </w:pPr>
      <w:r w:rsidRPr="00A4074B">
        <w:rPr>
          <w:b/>
          <w:bCs/>
          <w:sz w:val="22"/>
          <w:szCs w:val="22"/>
          <w:u w:val="single"/>
        </w:rPr>
        <w:t>Other:</w:t>
      </w:r>
    </w:p>
    <w:p w14:paraId="51847876" w14:textId="77777777" w:rsidR="00ED000D" w:rsidRPr="004C06ED" w:rsidRDefault="00ED000D" w:rsidP="00ED000D">
      <w:pPr>
        <w:adjustRightInd w:val="0"/>
        <w:spacing w:after="120"/>
        <w:rPr>
          <w:rFonts w:ascii="Arial" w:hAnsi="Arial" w:cs="Arial"/>
          <w:b/>
          <w:sz w:val="22"/>
          <w:szCs w:val="22"/>
        </w:rPr>
      </w:pPr>
      <w:r w:rsidRPr="004C06ED">
        <w:rPr>
          <w:rFonts w:ascii="Arial" w:hAnsi="Arial" w:cs="Arial"/>
          <w:sz w:val="22"/>
          <w:szCs w:val="22"/>
          <w:u w:val="single"/>
        </w:rPr>
        <w:t>Access to UMKC Resources:</w:t>
      </w:r>
      <w:r w:rsidRPr="004C06ED">
        <w:rPr>
          <w:rFonts w:ascii="Arial" w:hAnsi="Arial" w:cs="Arial"/>
          <w:b/>
          <w:sz w:val="22"/>
          <w:szCs w:val="22"/>
        </w:rPr>
        <w:t xml:space="preserve"> </w:t>
      </w:r>
      <w:r w:rsidRPr="004C06ED">
        <w:rPr>
          <w:rFonts w:ascii="Arial" w:hAnsi="Arial" w:cs="Arial"/>
          <w:sz w:val="22"/>
          <w:szCs w:val="22"/>
        </w:rPr>
        <w:t xml:space="preserve">In addition to the Hospital network, the UMKC School of Medicine has direct terminal access to the University Academic Computing Services which provides and is responsible for all general computing facilities for faculty and students. The service primarily uses a Digital Equipment Corporation super-minicomputer, its peripherals, and software, including a VAX 8650, a BATCH facility and interactive terminals. For statistics, VAX software includes SAS, </w:t>
      </w:r>
      <w:proofErr w:type="spellStart"/>
      <w:r w:rsidRPr="004C06ED">
        <w:rPr>
          <w:rFonts w:ascii="Arial" w:hAnsi="Arial" w:cs="Arial"/>
          <w:sz w:val="22"/>
          <w:szCs w:val="22"/>
        </w:rPr>
        <w:t>SPSSx</w:t>
      </w:r>
      <w:proofErr w:type="spellEnd"/>
      <w:r w:rsidRPr="004C06ED">
        <w:rPr>
          <w:rFonts w:ascii="Arial" w:hAnsi="Arial" w:cs="Arial"/>
          <w:sz w:val="22"/>
          <w:szCs w:val="22"/>
        </w:rPr>
        <w:t>, and BMDP. This network provides faculty access to the Internet as well as other University resources. Resources are adequate for electronic data storage and analysis as well as electronic communication.</w:t>
      </w:r>
    </w:p>
    <w:p w14:paraId="620E2C78" w14:textId="77777777" w:rsidR="00ED000D" w:rsidRDefault="00ED000D" w:rsidP="00ED000D">
      <w:pPr>
        <w:pStyle w:val="NormalWeb"/>
        <w:shd w:val="clear" w:color="auto" w:fill="FFFFFF"/>
        <w:spacing w:before="0" w:beforeAutospacing="0" w:after="120" w:afterAutospacing="0"/>
        <w:rPr>
          <w:rFonts w:ascii="Arial" w:hAnsi="Arial" w:cs="Arial"/>
          <w:sz w:val="22"/>
          <w:szCs w:val="22"/>
        </w:rPr>
      </w:pPr>
      <w:r w:rsidRPr="004C06ED">
        <w:rPr>
          <w:rFonts w:ascii="Arial" w:hAnsi="Arial" w:cs="Arial"/>
          <w:sz w:val="22"/>
          <w:szCs w:val="22"/>
          <w:u w:val="single"/>
        </w:rPr>
        <w:t>Library:</w:t>
      </w:r>
      <w:r w:rsidRPr="004C06ED">
        <w:rPr>
          <w:rFonts w:ascii="Arial" w:hAnsi="Arial" w:cs="Arial"/>
          <w:sz w:val="22"/>
          <w:szCs w:val="22"/>
        </w:rPr>
        <w:t xml:space="preserve"> The CMH library is located on the ground floor of the hospital. Library services include reference services, document delivery of articles and books, and interlibrary loan; literature searching, training in literature search skills, and training in the effective use of library resources and information tools by qualified medical librarians. The library collection contains over 5,000 books, 220 E-books, 420 active print and electronic journal subscriptions, as well as archived journals and books. The library subscribes to a number of databases and other specialized clinical resources for pediatric medicine, pediatric nursing, pediatric allied health, and related subspecialties and facilitates access to additional resources such as the Community of Science and the online resources of the UMKC Health Sciences Library.</w:t>
      </w:r>
    </w:p>
    <w:p w14:paraId="54CCDD1F" w14:textId="77777777" w:rsidR="00ED000D" w:rsidRPr="004C06ED" w:rsidRDefault="00ED000D" w:rsidP="00ED000D">
      <w:pPr>
        <w:pStyle w:val="BodyTextIndent3"/>
        <w:ind w:left="0"/>
        <w:rPr>
          <w:rFonts w:ascii="Arial" w:hAnsi="Arial" w:cs="Arial"/>
          <w:sz w:val="22"/>
          <w:szCs w:val="22"/>
        </w:rPr>
      </w:pPr>
      <w:r w:rsidRPr="004C06ED">
        <w:rPr>
          <w:rFonts w:ascii="Arial" w:hAnsi="Arial" w:cs="Arial"/>
          <w:sz w:val="22"/>
          <w:szCs w:val="22"/>
        </w:rPr>
        <w:t xml:space="preserve">The UMKC library system contains 1,005,724 volumes, 8,868 current serial subscriptions, 1,876,258 microfilms, and 797,602 government documents. The libraries have major access agreements with CRL, NLM, UM OVID data bases, UM </w:t>
      </w:r>
      <w:proofErr w:type="spellStart"/>
      <w:r w:rsidRPr="004C06ED">
        <w:rPr>
          <w:rFonts w:ascii="Arial" w:hAnsi="Arial" w:cs="Arial"/>
          <w:sz w:val="22"/>
          <w:szCs w:val="22"/>
        </w:rPr>
        <w:t>SiteSearch</w:t>
      </w:r>
      <w:proofErr w:type="spellEnd"/>
      <w:r w:rsidRPr="004C06ED">
        <w:rPr>
          <w:rFonts w:ascii="Arial" w:hAnsi="Arial" w:cs="Arial"/>
          <w:sz w:val="22"/>
          <w:szCs w:val="22"/>
        </w:rPr>
        <w:t xml:space="preserve"> databases, OCLC FirstSearch Basic, RLIN/BIB Eureka, ICPSR, and MIRACL.</w:t>
      </w:r>
    </w:p>
    <w:p w14:paraId="524BCCD2" w14:textId="77777777" w:rsidR="00ED000D" w:rsidRPr="004C06ED" w:rsidRDefault="00ED000D" w:rsidP="00ED000D">
      <w:pPr>
        <w:pStyle w:val="BodyTextIndent3"/>
        <w:widowControl w:val="0"/>
        <w:ind w:left="0"/>
        <w:rPr>
          <w:rFonts w:ascii="Arial" w:hAnsi="Arial" w:cs="Arial"/>
          <w:sz w:val="22"/>
          <w:szCs w:val="22"/>
        </w:rPr>
      </w:pPr>
      <w:r w:rsidRPr="004C06ED">
        <w:rPr>
          <w:rStyle w:val="BodyTextIndentChar"/>
        </w:rPr>
        <w:t xml:space="preserve">The Linda Hall Library is an independent research library holding collections in all areas of science and technology. It is located adjacent to the main UMKC campus about 3 miles from the hospital. The library has one of the nation's largest research collections, with more than 565,000 volumes, 17,000 current serials, 37,000 serials entries, 900,000 </w:t>
      </w:r>
      <w:r w:rsidRPr="004C06ED">
        <w:rPr>
          <w:rFonts w:ascii="Arial" w:hAnsi="Arial" w:cs="Arial"/>
          <w:sz w:val="22"/>
          <w:szCs w:val="22"/>
        </w:rPr>
        <w:t>microforms, 100,000 standards and specifications, and more than 1 million government documents. The library also is a U.S. patent depository.  UMKC medical and health sciences resources are supplemented by the nearby libraries of the University of Kansas Medical Center Archie Dykes Library.</w:t>
      </w:r>
    </w:p>
    <w:p w14:paraId="40FD76F8" w14:textId="77777777" w:rsidR="00ED000D" w:rsidRPr="007744F4" w:rsidRDefault="00ED000D" w:rsidP="00ED000D">
      <w:pPr>
        <w:pStyle w:val="BodyText"/>
        <w:rPr>
          <w:rFonts w:ascii="Arial" w:hAnsi="Arial" w:cs="Arial"/>
          <w:sz w:val="22"/>
          <w:szCs w:val="22"/>
        </w:rPr>
      </w:pPr>
      <w:r w:rsidRPr="007744F4">
        <w:rPr>
          <w:rFonts w:ascii="Arial" w:hAnsi="Arial" w:cs="Arial"/>
          <w:sz w:val="22"/>
          <w:szCs w:val="22"/>
          <w:u w:val="single"/>
        </w:rPr>
        <w:lastRenderedPageBreak/>
        <w:t>Biomedical Engineering support:</w:t>
      </w:r>
      <w:r w:rsidRPr="007744F4">
        <w:rPr>
          <w:rFonts w:ascii="Arial" w:hAnsi="Arial" w:cs="Arial"/>
          <w:b/>
          <w:sz w:val="22"/>
          <w:szCs w:val="22"/>
        </w:rPr>
        <w:t xml:space="preserve"> </w:t>
      </w:r>
      <w:r w:rsidRPr="007744F4">
        <w:rPr>
          <w:rFonts w:ascii="Arial" w:hAnsi="Arial" w:cs="Arial"/>
          <w:sz w:val="22"/>
          <w:szCs w:val="22"/>
        </w:rPr>
        <w:t>Children's Mercy Hospital provides a machine, electrical and biomedical shop to service technical and research equipment.</w:t>
      </w:r>
    </w:p>
    <w:p w14:paraId="290A456C" w14:textId="77777777" w:rsidR="00ED000D" w:rsidRPr="007744F4" w:rsidRDefault="00ED000D" w:rsidP="001F3253">
      <w:pPr>
        <w:pStyle w:val="BodyText"/>
        <w:rPr>
          <w:rFonts w:ascii="Arial" w:hAnsi="Arial" w:cs="Arial"/>
          <w:sz w:val="22"/>
          <w:szCs w:val="22"/>
        </w:rPr>
      </w:pPr>
    </w:p>
    <w:sectPr w:rsidR="00ED000D" w:rsidRPr="007744F4" w:rsidSect="00B01E0C">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BE147" w14:textId="77777777" w:rsidR="009E5F88" w:rsidRDefault="009E5F88">
      <w:r>
        <w:separator/>
      </w:r>
    </w:p>
  </w:endnote>
  <w:endnote w:type="continuationSeparator" w:id="0">
    <w:p w14:paraId="138E66C2" w14:textId="77777777" w:rsidR="009E5F88" w:rsidRDefault="009E5F88">
      <w:r>
        <w:continuationSeparator/>
      </w:r>
    </w:p>
  </w:endnote>
  <w:endnote w:type="continuationNotice" w:id="1">
    <w:p w14:paraId="46BD1B04" w14:textId="77777777" w:rsidR="009E5F88" w:rsidRDefault="009E5F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2EDB3" w14:textId="77777777" w:rsidR="009E5F88" w:rsidRDefault="009E5F88">
      <w:r>
        <w:separator/>
      </w:r>
    </w:p>
  </w:footnote>
  <w:footnote w:type="continuationSeparator" w:id="0">
    <w:p w14:paraId="4C26FA42" w14:textId="77777777" w:rsidR="009E5F88" w:rsidRDefault="009E5F88">
      <w:r>
        <w:continuationSeparator/>
      </w:r>
    </w:p>
  </w:footnote>
  <w:footnote w:type="continuationNotice" w:id="1">
    <w:p w14:paraId="6A780D49" w14:textId="77777777" w:rsidR="009E5F88" w:rsidRDefault="009E5F8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31BF5"/>
    <w:multiLevelType w:val="multilevel"/>
    <w:tmpl w:val="53F0A1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3B60E0"/>
    <w:multiLevelType w:val="hybridMultilevel"/>
    <w:tmpl w:val="8A5ECB10"/>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 w15:restartNumberingAfterBreak="0">
    <w:nsid w:val="1CF17A7D"/>
    <w:multiLevelType w:val="hybridMultilevel"/>
    <w:tmpl w:val="420A0BC2"/>
    <w:lvl w:ilvl="0" w:tplc="6F022A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467C90"/>
    <w:multiLevelType w:val="hybridMultilevel"/>
    <w:tmpl w:val="B1047B64"/>
    <w:lvl w:ilvl="0" w:tplc="4BF0B78A">
      <w:numFmt w:val="bullet"/>
      <w:lvlText w:val="•"/>
      <w:lvlJc w:val="left"/>
      <w:pPr>
        <w:ind w:left="500" w:hanging="50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AB35E8E"/>
    <w:multiLevelType w:val="hybridMultilevel"/>
    <w:tmpl w:val="1AF44F0C"/>
    <w:lvl w:ilvl="0" w:tplc="4A38BF80">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5F016A2"/>
    <w:multiLevelType w:val="hybridMultilevel"/>
    <w:tmpl w:val="18586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E91BCA"/>
    <w:multiLevelType w:val="hybridMultilevel"/>
    <w:tmpl w:val="8320CEEA"/>
    <w:lvl w:ilvl="0" w:tplc="04090001">
      <w:start w:val="1"/>
      <w:numFmt w:val="bullet"/>
      <w:lvlText w:val=""/>
      <w:lvlJc w:val="left"/>
      <w:pPr>
        <w:ind w:left="500" w:hanging="50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6916864"/>
    <w:multiLevelType w:val="hybridMultilevel"/>
    <w:tmpl w:val="35A8E3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6801C3"/>
    <w:multiLevelType w:val="hybridMultilevel"/>
    <w:tmpl w:val="75B666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47442442">
    <w:abstractNumId w:val="1"/>
  </w:num>
  <w:num w:numId="2" w16cid:durableId="760027146">
    <w:abstractNumId w:val="4"/>
  </w:num>
  <w:num w:numId="3" w16cid:durableId="995647547">
    <w:abstractNumId w:val="8"/>
  </w:num>
  <w:num w:numId="4" w16cid:durableId="641547227">
    <w:abstractNumId w:val="3"/>
  </w:num>
  <w:num w:numId="5" w16cid:durableId="1227302902">
    <w:abstractNumId w:val="6"/>
  </w:num>
  <w:num w:numId="6" w16cid:durableId="176236701">
    <w:abstractNumId w:val="0"/>
  </w:num>
  <w:num w:numId="7" w16cid:durableId="1745029654">
    <w:abstractNumId w:val="7"/>
  </w:num>
  <w:num w:numId="8" w16cid:durableId="1086998866">
    <w:abstractNumId w:val="2"/>
  </w:num>
  <w:num w:numId="9" w16cid:durableId="14224060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D49"/>
    <w:rsid w:val="000012AD"/>
    <w:rsid w:val="00011489"/>
    <w:rsid w:val="0001689D"/>
    <w:rsid w:val="00020992"/>
    <w:rsid w:val="000214DC"/>
    <w:rsid w:val="00023AB4"/>
    <w:rsid w:val="00033B4A"/>
    <w:rsid w:val="00035950"/>
    <w:rsid w:val="00040F07"/>
    <w:rsid w:val="000421B2"/>
    <w:rsid w:val="00042C10"/>
    <w:rsid w:val="0004359B"/>
    <w:rsid w:val="00044135"/>
    <w:rsid w:val="00045003"/>
    <w:rsid w:val="00051811"/>
    <w:rsid w:val="000530C7"/>
    <w:rsid w:val="00054F90"/>
    <w:rsid w:val="0005514C"/>
    <w:rsid w:val="00055FB2"/>
    <w:rsid w:val="000607DB"/>
    <w:rsid w:val="000619C8"/>
    <w:rsid w:val="000640E2"/>
    <w:rsid w:val="00066E49"/>
    <w:rsid w:val="0006726F"/>
    <w:rsid w:val="00071372"/>
    <w:rsid w:val="000863B1"/>
    <w:rsid w:val="00092437"/>
    <w:rsid w:val="00097E97"/>
    <w:rsid w:val="000A354C"/>
    <w:rsid w:val="000A40E5"/>
    <w:rsid w:val="000A4E3A"/>
    <w:rsid w:val="000B2903"/>
    <w:rsid w:val="000B34A9"/>
    <w:rsid w:val="000B4C17"/>
    <w:rsid w:val="000C1E09"/>
    <w:rsid w:val="000C31CB"/>
    <w:rsid w:val="000C48DB"/>
    <w:rsid w:val="000C4B76"/>
    <w:rsid w:val="000D1F2F"/>
    <w:rsid w:val="000D4E54"/>
    <w:rsid w:val="000D6E18"/>
    <w:rsid w:val="000D75B6"/>
    <w:rsid w:val="000E206F"/>
    <w:rsid w:val="000E63AE"/>
    <w:rsid w:val="000E6643"/>
    <w:rsid w:val="000E71C3"/>
    <w:rsid w:val="000E7DC3"/>
    <w:rsid w:val="000F570C"/>
    <w:rsid w:val="000F5CD3"/>
    <w:rsid w:val="0010553B"/>
    <w:rsid w:val="001057E9"/>
    <w:rsid w:val="001125D7"/>
    <w:rsid w:val="0011493A"/>
    <w:rsid w:val="00115908"/>
    <w:rsid w:val="00120570"/>
    <w:rsid w:val="001279EC"/>
    <w:rsid w:val="00137BC8"/>
    <w:rsid w:val="0014176B"/>
    <w:rsid w:val="00142045"/>
    <w:rsid w:val="001454F3"/>
    <w:rsid w:val="001467BC"/>
    <w:rsid w:val="00150B4D"/>
    <w:rsid w:val="001528B6"/>
    <w:rsid w:val="0015415A"/>
    <w:rsid w:val="0015427E"/>
    <w:rsid w:val="00154B44"/>
    <w:rsid w:val="001567D9"/>
    <w:rsid w:val="00156CCE"/>
    <w:rsid w:val="00166082"/>
    <w:rsid w:val="00172338"/>
    <w:rsid w:val="00174AF5"/>
    <w:rsid w:val="0018529C"/>
    <w:rsid w:val="00185335"/>
    <w:rsid w:val="001859FA"/>
    <w:rsid w:val="001917B6"/>
    <w:rsid w:val="00191C52"/>
    <w:rsid w:val="001945BC"/>
    <w:rsid w:val="001A241F"/>
    <w:rsid w:val="001A704F"/>
    <w:rsid w:val="001A7F20"/>
    <w:rsid w:val="001B5D28"/>
    <w:rsid w:val="001B629C"/>
    <w:rsid w:val="001C20F6"/>
    <w:rsid w:val="001D11CE"/>
    <w:rsid w:val="001D3012"/>
    <w:rsid w:val="001D4410"/>
    <w:rsid w:val="001E2312"/>
    <w:rsid w:val="001E2B19"/>
    <w:rsid w:val="001E2DCD"/>
    <w:rsid w:val="001E5D49"/>
    <w:rsid w:val="001E661A"/>
    <w:rsid w:val="001E6E5C"/>
    <w:rsid w:val="001F3253"/>
    <w:rsid w:val="001F375C"/>
    <w:rsid w:val="001F69D7"/>
    <w:rsid w:val="001F715E"/>
    <w:rsid w:val="00202530"/>
    <w:rsid w:val="00202AE5"/>
    <w:rsid w:val="00207E2D"/>
    <w:rsid w:val="00221CF8"/>
    <w:rsid w:val="00233AC9"/>
    <w:rsid w:val="002341FA"/>
    <w:rsid w:val="002400E6"/>
    <w:rsid w:val="00244988"/>
    <w:rsid w:val="00245A13"/>
    <w:rsid w:val="00253A58"/>
    <w:rsid w:val="00260F6E"/>
    <w:rsid w:val="00262120"/>
    <w:rsid w:val="00266F65"/>
    <w:rsid w:val="00271CB4"/>
    <w:rsid w:val="0027214D"/>
    <w:rsid w:val="002754B5"/>
    <w:rsid w:val="00280E69"/>
    <w:rsid w:val="0028324B"/>
    <w:rsid w:val="00285652"/>
    <w:rsid w:val="00286353"/>
    <w:rsid w:val="002906D3"/>
    <w:rsid w:val="002A11BF"/>
    <w:rsid w:val="002A6218"/>
    <w:rsid w:val="002B1506"/>
    <w:rsid w:val="002B4A83"/>
    <w:rsid w:val="002B7C66"/>
    <w:rsid w:val="002C2790"/>
    <w:rsid w:val="002C46F4"/>
    <w:rsid w:val="002D026C"/>
    <w:rsid w:val="002D783A"/>
    <w:rsid w:val="002E7E73"/>
    <w:rsid w:val="002F110D"/>
    <w:rsid w:val="002F1305"/>
    <w:rsid w:val="002F39A2"/>
    <w:rsid w:val="0030028F"/>
    <w:rsid w:val="00305CF2"/>
    <w:rsid w:val="0031170C"/>
    <w:rsid w:val="003145C0"/>
    <w:rsid w:val="00315A16"/>
    <w:rsid w:val="00323BE6"/>
    <w:rsid w:val="00326187"/>
    <w:rsid w:val="0033155A"/>
    <w:rsid w:val="0033539E"/>
    <w:rsid w:val="0033592A"/>
    <w:rsid w:val="003536C0"/>
    <w:rsid w:val="00356D1D"/>
    <w:rsid w:val="00377755"/>
    <w:rsid w:val="00380C24"/>
    <w:rsid w:val="00380E75"/>
    <w:rsid w:val="00381E9F"/>
    <w:rsid w:val="00391305"/>
    <w:rsid w:val="00396DE1"/>
    <w:rsid w:val="003A5C80"/>
    <w:rsid w:val="003B16CE"/>
    <w:rsid w:val="003B638C"/>
    <w:rsid w:val="003B733F"/>
    <w:rsid w:val="003E0AEB"/>
    <w:rsid w:val="004070E9"/>
    <w:rsid w:val="00416D2C"/>
    <w:rsid w:val="004172D9"/>
    <w:rsid w:val="0042138E"/>
    <w:rsid w:val="00424B0D"/>
    <w:rsid w:val="00425905"/>
    <w:rsid w:val="004274E0"/>
    <w:rsid w:val="00437152"/>
    <w:rsid w:val="0043719E"/>
    <w:rsid w:val="004441DC"/>
    <w:rsid w:val="00445443"/>
    <w:rsid w:val="00460765"/>
    <w:rsid w:val="004627D6"/>
    <w:rsid w:val="004659B5"/>
    <w:rsid w:val="0046725A"/>
    <w:rsid w:val="00471DE4"/>
    <w:rsid w:val="00473658"/>
    <w:rsid w:val="0048149A"/>
    <w:rsid w:val="00484214"/>
    <w:rsid w:val="004A205F"/>
    <w:rsid w:val="004A25FA"/>
    <w:rsid w:val="004A5874"/>
    <w:rsid w:val="004B0B9D"/>
    <w:rsid w:val="004C2CBB"/>
    <w:rsid w:val="004C7A74"/>
    <w:rsid w:val="004D2CB5"/>
    <w:rsid w:val="004E202B"/>
    <w:rsid w:val="004F11C3"/>
    <w:rsid w:val="004F3997"/>
    <w:rsid w:val="005010CE"/>
    <w:rsid w:val="00501C6C"/>
    <w:rsid w:val="0050250F"/>
    <w:rsid w:val="005047A7"/>
    <w:rsid w:val="005072AA"/>
    <w:rsid w:val="005129A6"/>
    <w:rsid w:val="005265C1"/>
    <w:rsid w:val="00532340"/>
    <w:rsid w:val="00532C81"/>
    <w:rsid w:val="00536155"/>
    <w:rsid w:val="00544E43"/>
    <w:rsid w:val="005465E0"/>
    <w:rsid w:val="005476C4"/>
    <w:rsid w:val="005518B6"/>
    <w:rsid w:val="00552146"/>
    <w:rsid w:val="005546BB"/>
    <w:rsid w:val="00561E7C"/>
    <w:rsid w:val="00562472"/>
    <w:rsid w:val="005652DC"/>
    <w:rsid w:val="00574E55"/>
    <w:rsid w:val="00580F4C"/>
    <w:rsid w:val="00584719"/>
    <w:rsid w:val="005853DE"/>
    <w:rsid w:val="00585966"/>
    <w:rsid w:val="00587649"/>
    <w:rsid w:val="00594ABC"/>
    <w:rsid w:val="005971DF"/>
    <w:rsid w:val="005A4C71"/>
    <w:rsid w:val="005A528E"/>
    <w:rsid w:val="005A75DE"/>
    <w:rsid w:val="005A7BF3"/>
    <w:rsid w:val="005B61F1"/>
    <w:rsid w:val="005C3157"/>
    <w:rsid w:val="005D3C92"/>
    <w:rsid w:val="005E0838"/>
    <w:rsid w:val="005E35FC"/>
    <w:rsid w:val="005E5E94"/>
    <w:rsid w:val="005F01B5"/>
    <w:rsid w:val="005F3DA7"/>
    <w:rsid w:val="00606099"/>
    <w:rsid w:val="00607346"/>
    <w:rsid w:val="0061469E"/>
    <w:rsid w:val="00617180"/>
    <w:rsid w:val="00621519"/>
    <w:rsid w:val="006228A2"/>
    <w:rsid w:val="006253DF"/>
    <w:rsid w:val="00626CD6"/>
    <w:rsid w:val="00636643"/>
    <w:rsid w:val="00641459"/>
    <w:rsid w:val="00642330"/>
    <w:rsid w:val="00654EAE"/>
    <w:rsid w:val="00656392"/>
    <w:rsid w:val="00674DDE"/>
    <w:rsid w:val="00675C34"/>
    <w:rsid w:val="00675CFD"/>
    <w:rsid w:val="00676B04"/>
    <w:rsid w:val="006776CB"/>
    <w:rsid w:val="00682196"/>
    <w:rsid w:val="00682D3C"/>
    <w:rsid w:val="00685E4A"/>
    <w:rsid w:val="00686C8B"/>
    <w:rsid w:val="006878AB"/>
    <w:rsid w:val="0069442C"/>
    <w:rsid w:val="006A24AC"/>
    <w:rsid w:val="006A288B"/>
    <w:rsid w:val="006A3F4D"/>
    <w:rsid w:val="006A58B7"/>
    <w:rsid w:val="006A60C8"/>
    <w:rsid w:val="006B6EF0"/>
    <w:rsid w:val="006C76B4"/>
    <w:rsid w:val="006D170D"/>
    <w:rsid w:val="006E25B2"/>
    <w:rsid w:val="006E540C"/>
    <w:rsid w:val="006F06A6"/>
    <w:rsid w:val="006F1154"/>
    <w:rsid w:val="006F645F"/>
    <w:rsid w:val="00703A39"/>
    <w:rsid w:val="00712D7C"/>
    <w:rsid w:val="00714754"/>
    <w:rsid w:val="0072093B"/>
    <w:rsid w:val="00721971"/>
    <w:rsid w:val="00722463"/>
    <w:rsid w:val="00722A96"/>
    <w:rsid w:val="00731CC5"/>
    <w:rsid w:val="00735733"/>
    <w:rsid w:val="00735A74"/>
    <w:rsid w:val="00743A43"/>
    <w:rsid w:val="007503D5"/>
    <w:rsid w:val="00754370"/>
    <w:rsid w:val="0075770B"/>
    <w:rsid w:val="00760719"/>
    <w:rsid w:val="00760E15"/>
    <w:rsid w:val="00760EFC"/>
    <w:rsid w:val="007638BC"/>
    <w:rsid w:val="007731D3"/>
    <w:rsid w:val="007744F4"/>
    <w:rsid w:val="00780F77"/>
    <w:rsid w:val="00790E26"/>
    <w:rsid w:val="0079109B"/>
    <w:rsid w:val="007A1C6B"/>
    <w:rsid w:val="007A1FA7"/>
    <w:rsid w:val="007A3045"/>
    <w:rsid w:val="007B0E0C"/>
    <w:rsid w:val="007B21E3"/>
    <w:rsid w:val="007B6F2C"/>
    <w:rsid w:val="007B7211"/>
    <w:rsid w:val="007C4119"/>
    <w:rsid w:val="007C5F9E"/>
    <w:rsid w:val="007D5EB4"/>
    <w:rsid w:val="007E54AC"/>
    <w:rsid w:val="007E5A0E"/>
    <w:rsid w:val="00807925"/>
    <w:rsid w:val="00814A2F"/>
    <w:rsid w:val="00822654"/>
    <w:rsid w:val="00842F6A"/>
    <w:rsid w:val="008455F4"/>
    <w:rsid w:val="00845D97"/>
    <w:rsid w:val="00862517"/>
    <w:rsid w:val="00863C6D"/>
    <w:rsid w:val="00867602"/>
    <w:rsid w:val="00867C31"/>
    <w:rsid w:val="0087153D"/>
    <w:rsid w:val="008729A2"/>
    <w:rsid w:val="00873211"/>
    <w:rsid w:val="00873DD5"/>
    <w:rsid w:val="00885156"/>
    <w:rsid w:val="00890B73"/>
    <w:rsid w:val="0089346D"/>
    <w:rsid w:val="008A2C48"/>
    <w:rsid w:val="008A5B81"/>
    <w:rsid w:val="008C0DD6"/>
    <w:rsid w:val="008C1053"/>
    <w:rsid w:val="008C3BC7"/>
    <w:rsid w:val="008C5383"/>
    <w:rsid w:val="008D0640"/>
    <w:rsid w:val="008D3F04"/>
    <w:rsid w:val="008D68DB"/>
    <w:rsid w:val="008E7AAD"/>
    <w:rsid w:val="008F77FF"/>
    <w:rsid w:val="009012F3"/>
    <w:rsid w:val="009049E9"/>
    <w:rsid w:val="0090553B"/>
    <w:rsid w:val="00910C45"/>
    <w:rsid w:val="00916036"/>
    <w:rsid w:val="009168B5"/>
    <w:rsid w:val="009210FA"/>
    <w:rsid w:val="00927961"/>
    <w:rsid w:val="0093220B"/>
    <w:rsid w:val="00932A95"/>
    <w:rsid w:val="009350B8"/>
    <w:rsid w:val="00941EAE"/>
    <w:rsid w:val="00944152"/>
    <w:rsid w:val="0095377F"/>
    <w:rsid w:val="009552FB"/>
    <w:rsid w:val="009563E9"/>
    <w:rsid w:val="00960C2C"/>
    <w:rsid w:val="00961B51"/>
    <w:rsid w:val="00964FD7"/>
    <w:rsid w:val="00965B86"/>
    <w:rsid w:val="009673E6"/>
    <w:rsid w:val="009718AE"/>
    <w:rsid w:val="00976D5A"/>
    <w:rsid w:val="00977F3F"/>
    <w:rsid w:val="00983008"/>
    <w:rsid w:val="00987521"/>
    <w:rsid w:val="009A3D90"/>
    <w:rsid w:val="009A7A5C"/>
    <w:rsid w:val="009B4436"/>
    <w:rsid w:val="009B6626"/>
    <w:rsid w:val="009B7E55"/>
    <w:rsid w:val="009D03DD"/>
    <w:rsid w:val="009D5523"/>
    <w:rsid w:val="009D6D78"/>
    <w:rsid w:val="009E5F88"/>
    <w:rsid w:val="009F57B4"/>
    <w:rsid w:val="00A0271B"/>
    <w:rsid w:val="00A0361B"/>
    <w:rsid w:val="00A256D0"/>
    <w:rsid w:val="00A25AFA"/>
    <w:rsid w:val="00A3556F"/>
    <w:rsid w:val="00A360F1"/>
    <w:rsid w:val="00A4031B"/>
    <w:rsid w:val="00A40691"/>
    <w:rsid w:val="00A4074B"/>
    <w:rsid w:val="00A5091D"/>
    <w:rsid w:val="00A52DBA"/>
    <w:rsid w:val="00A55D32"/>
    <w:rsid w:val="00A561E0"/>
    <w:rsid w:val="00A626EA"/>
    <w:rsid w:val="00A645D0"/>
    <w:rsid w:val="00A648C8"/>
    <w:rsid w:val="00A67987"/>
    <w:rsid w:val="00A7137A"/>
    <w:rsid w:val="00A71BC4"/>
    <w:rsid w:val="00A734D5"/>
    <w:rsid w:val="00A7657A"/>
    <w:rsid w:val="00AA2B92"/>
    <w:rsid w:val="00AA469D"/>
    <w:rsid w:val="00AA46D1"/>
    <w:rsid w:val="00AB1253"/>
    <w:rsid w:val="00AC162B"/>
    <w:rsid w:val="00AC4816"/>
    <w:rsid w:val="00AC7DC2"/>
    <w:rsid w:val="00AD2143"/>
    <w:rsid w:val="00AD23F2"/>
    <w:rsid w:val="00AE21E5"/>
    <w:rsid w:val="00AE4029"/>
    <w:rsid w:val="00AF08A6"/>
    <w:rsid w:val="00AF0D32"/>
    <w:rsid w:val="00AF0D46"/>
    <w:rsid w:val="00B018CE"/>
    <w:rsid w:val="00B01E0C"/>
    <w:rsid w:val="00B040A2"/>
    <w:rsid w:val="00B12F1F"/>
    <w:rsid w:val="00B215AE"/>
    <w:rsid w:val="00B34A4C"/>
    <w:rsid w:val="00B40A39"/>
    <w:rsid w:val="00B442F4"/>
    <w:rsid w:val="00B607CE"/>
    <w:rsid w:val="00B60AEA"/>
    <w:rsid w:val="00B6254C"/>
    <w:rsid w:val="00B6489B"/>
    <w:rsid w:val="00B70006"/>
    <w:rsid w:val="00B70368"/>
    <w:rsid w:val="00B807DC"/>
    <w:rsid w:val="00B81A59"/>
    <w:rsid w:val="00B902F9"/>
    <w:rsid w:val="00B93B54"/>
    <w:rsid w:val="00B9753D"/>
    <w:rsid w:val="00BA035F"/>
    <w:rsid w:val="00BA5C3F"/>
    <w:rsid w:val="00BA7D7E"/>
    <w:rsid w:val="00BC18A2"/>
    <w:rsid w:val="00BC56AA"/>
    <w:rsid w:val="00BD2BD2"/>
    <w:rsid w:val="00BD4AA4"/>
    <w:rsid w:val="00BD5BC7"/>
    <w:rsid w:val="00BD7B4E"/>
    <w:rsid w:val="00BE2612"/>
    <w:rsid w:val="00BE2EA9"/>
    <w:rsid w:val="00BF45E6"/>
    <w:rsid w:val="00BF7700"/>
    <w:rsid w:val="00C00056"/>
    <w:rsid w:val="00C024F0"/>
    <w:rsid w:val="00C0479E"/>
    <w:rsid w:val="00C2226D"/>
    <w:rsid w:val="00C22797"/>
    <w:rsid w:val="00C23B55"/>
    <w:rsid w:val="00C36351"/>
    <w:rsid w:val="00C40616"/>
    <w:rsid w:val="00C40CE2"/>
    <w:rsid w:val="00C443C8"/>
    <w:rsid w:val="00C50AC3"/>
    <w:rsid w:val="00C559CD"/>
    <w:rsid w:val="00C62ACE"/>
    <w:rsid w:val="00C754DA"/>
    <w:rsid w:val="00C75AE3"/>
    <w:rsid w:val="00C82D04"/>
    <w:rsid w:val="00C8479F"/>
    <w:rsid w:val="00C91480"/>
    <w:rsid w:val="00CA5B6B"/>
    <w:rsid w:val="00CB0F01"/>
    <w:rsid w:val="00CB2C30"/>
    <w:rsid w:val="00CB3D13"/>
    <w:rsid w:val="00CC39E3"/>
    <w:rsid w:val="00CD0441"/>
    <w:rsid w:val="00CD4143"/>
    <w:rsid w:val="00CD6C18"/>
    <w:rsid w:val="00CF1315"/>
    <w:rsid w:val="00CF5216"/>
    <w:rsid w:val="00CF6A80"/>
    <w:rsid w:val="00D02941"/>
    <w:rsid w:val="00D03218"/>
    <w:rsid w:val="00D03CE6"/>
    <w:rsid w:val="00D041F1"/>
    <w:rsid w:val="00D108BA"/>
    <w:rsid w:val="00D1185D"/>
    <w:rsid w:val="00D165FF"/>
    <w:rsid w:val="00D2358E"/>
    <w:rsid w:val="00D2703C"/>
    <w:rsid w:val="00D3140D"/>
    <w:rsid w:val="00D41D89"/>
    <w:rsid w:val="00D43927"/>
    <w:rsid w:val="00D44BF3"/>
    <w:rsid w:val="00D47BBF"/>
    <w:rsid w:val="00D502FB"/>
    <w:rsid w:val="00D559CD"/>
    <w:rsid w:val="00D60074"/>
    <w:rsid w:val="00D60C51"/>
    <w:rsid w:val="00D616F8"/>
    <w:rsid w:val="00D620AA"/>
    <w:rsid w:val="00D6750A"/>
    <w:rsid w:val="00D76462"/>
    <w:rsid w:val="00D77706"/>
    <w:rsid w:val="00D830DE"/>
    <w:rsid w:val="00D84D0B"/>
    <w:rsid w:val="00D852A2"/>
    <w:rsid w:val="00D873D9"/>
    <w:rsid w:val="00D97C72"/>
    <w:rsid w:val="00DA167A"/>
    <w:rsid w:val="00DA3AC4"/>
    <w:rsid w:val="00DB0401"/>
    <w:rsid w:val="00DB186A"/>
    <w:rsid w:val="00DB2282"/>
    <w:rsid w:val="00DB2BE7"/>
    <w:rsid w:val="00DB3C1C"/>
    <w:rsid w:val="00DB786E"/>
    <w:rsid w:val="00DC19E5"/>
    <w:rsid w:val="00DC32FA"/>
    <w:rsid w:val="00DC51D3"/>
    <w:rsid w:val="00DC5DAC"/>
    <w:rsid w:val="00DD49A1"/>
    <w:rsid w:val="00DD4F92"/>
    <w:rsid w:val="00DE1760"/>
    <w:rsid w:val="00DE1EAC"/>
    <w:rsid w:val="00E11BC0"/>
    <w:rsid w:val="00E11CBB"/>
    <w:rsid w:val="00E12F5A"/>
    <w:rsid w:val="00E13BBE"/>
    <w:rsid w:val="00E23E14"/>
    <w:rsid w:val="00E3051D"/>
    <w:rsid w:val="00E362E3"/>
    <w:rsid w:val="00E41F7F"/>
    <w:rsid w:val="00E426F7"/>
    <w:rsid w:val="00E47E26"/>
    <w:rsid w:val="00E5581E"/>
    <w:rsid w:val="00E57C5F"/>
    <w:rsid w:val="00E6117E"/>
    <w:rsid w:val="00E631CE"/>
    <w:rsid w:val="00E64D3C"/>
    <w:rsid w:val="00E6606C"/>
    <w:rsid w:val="00E6764A"/>
    <w:rsid w:val="00E76AEC"/>
    <w:rsid w:val="00E83BCD"/>
    <w:rsid w:val="00E87042"/>
    <w:rsid w:val="00E975E9"/>
    <w:rsid w:val="00EA1985"/>
    <w:rsid w:val="00EA30C7"/>
    <w:rsid w:val="00EA6281"/>
    <w:rsid w:val="00EB1318"/>
    <w:rsid w:val="00EB2D0B"/>
    <w:rsid w:val="00EB5160"/>
    <w:rsid w:val="00EB681A"/>
    <w:rsid w:val="00EB6DEA"/>
    <w:rsid w:val="00EC14A2"/>
    <w:rsid w:val="00ED000D"/>
    <w:rsid w:val="00EE25B4"/>
    <w:rsid w:val="00EE3E9C"/>
    <w:rsid w:val="00EE7B65"/>
    <w:rsid w:val="00EF1283"/>
    <w:rsid w:val="00EF657E"/>
    <w:rsid w:val="00EF69A2"/>
    <w:rsid w:val="00EF785D"/>
    <w:rsid w:val="00F0052F"/>
    <w:rsid w:val="00F05E70"/>
    <w:rsid w:val="00F06FFF"/>
    <w:rsid w:val="00F13DEF"/>
    <w:rsid w:val="00F15BEC"/>
    <w:rsid w:val="00F27016"/>
    <w:rsid w:val="00F30BFD"/>
    <w:rsid w:val="00F47B0A"/>
    <w:rsid w:val="00F5166C"/>
    <w:rsid w:val="00F56E92"/>
    <w:rsid w:val="00F5770E"/>
    <w:rsid w:val="00F618F3"/>
    <w:rsid w:val="00F62CE3"/>
    <w:rsid w:val="00F63AB2"/>
    <w:rsid w:val="00F66EC9"/>
    <w:rsid w:val="00F7058F"/>
    <w:rsid w:val="00F77320"/>
    <w:rsid w:val="00F77F41"/>
    <w:rsid w:val="00F8129D"/>
    <w:rsid w:val="00FA68D6"/>
    <w:rsid w:val="00FA7035"/>
    <w:rsid w:val="00FC6975"/>
    <w:rsid w:val="00FD2688"/>
    <w:rsid w:val="00FD2EFE"/>
    <w:rsid w:val="00FE1BFD"/>
    <w:rsid w:val="00FE7DFB"/>
    <w:rsid w:val="00FF0E1F"/>
    <w:rsid w:val="00FF1455"/>
    <w:rsid w:val="00FF1524"/>
    <w:rsid w:val="00FF1A14"/>
    <w:rsid w:val="00FF2549"/>
    <w:rsid w:val="00FF267C"/>
    <w:rsid w:val="00FF5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1C67D8B0"/>
  <w15:docId w15:val="{232CFA8A-234B-4117-8B83-1DB5C12C0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540C"/>
    <w:rPr>
      <w:sz w:val="24"/>
      <w:szCs w:val="24"/>
    </w:rPr>
  </w:style>
  <w:style w:type="paragraph" w:styleId="Heading4">
    <w:name w:val="heading 4"/>
    <w:basedOn w:val="Normal"/>
    <w:next w:val="Normal"/>
    <w:qFormat/>
    <w:rsid w:val="00682D3C"/>
    <w:pPr>
      <w:keepNext/>
      <w:autoSpaceDE w:val="0"/>
      <w:autoSpaceDN w:val="0"/>
      <w:spacing w:before="240" w:after="60"/>
      <w:outlineLvl w:val="3"/>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C76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C76B4"/>
    <w:pPr>
      <w:autoSpaceDE w:val="0"/>
      <w:autoSpaceDN w:val="0"/>
      <w:adjustRightInd w:val="0"/>
    </w:pPr>
    <w:rPr>
      <w:rFonts w:ascii="Arial" w:eastAsia="Batang" w:hAnsi="Arial" w:cs="Arial"/>
      <w:color w:val="000000"/>
      <w:sz w:val="24"/>
      <w:szCs w:val="24"/>
      <w:lang w:val="en-CA" w:eastAsia="ko-KR"/>
    </w:rPr>
  </w:style>
  <w:style w:type="paragraph" w:styleId="NormalWeb">
    <w:name w:val="Normal (Web)"/>
    <w:basedOn w:val="Normal"/>
    <w:uiPriority w:val="99"/>
    <w:rsid w:val="005C3157"/>
    <w:pPr>
      <w:spacing w:before="100" w:beforeAutospacing="1" w:after="100" w:afterAutospacing="1"/>
    </w:pPr>
    <w:rPr>
      <w:rFonts w:eastAsia="Batang"/>
      <w:lang w:val="en-CA" w:eastAsia="ko-KR"/>
    </w:rPr>
  </w:style>
  <w:style w:type="paragraph" w:styleId="HTMLPreformatted">
    <w:name w:val="HTML Preformatted"/>
    <w:basedOn w:val="Normal"/>
    <w:link w:val="HTMLPreformattedChar"/>
    <w:uiPriority w:val="99"/>
    <w:unhideWhenUsed/>
    <w:rsid w:val="002400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DefaultParagraphFont"/>
    <w:link w:val="HTMLPreformatted"/>
    <w:uiPriority w:val="99"/>
    <w:rsid w:val="002400E6"/>
    <w:rPr>
      <w:rFonts w:ascii="Courier New" w:eastAsia="Calibri" w:hAnsi="Courier New" w:cs="Courier New"/>
    </w:rPr>
  </w:style>
  <w:style w:type="paragraph" w:styleId="BodyText">
    <w:name w:val="Body Text"/>
    <w:aliases w:val="BT"/>
    <w:basedOn w:val="Normal"/>
    <w:rsid w:val="00682D3C"/>
    <w:pPr>
      <w:autoSpaceDE w:val="0"/>
      <w:autoSpaceDN w:val="0"/>
      <w:spacing w:after="120"/>
    </w:pPr>
    <w:rPr>
      <w:rFonts w:ascii="Times" w:hAnsi="Times" w:cs="Times"/>
    </w:rPr>
  </w:style>
  <w:style w:type="paragraph" w:styleId="BodyTextIndent">
    <w:name w:val="Body Text Indent"/>
    <w:basedOn w:val="Normal"/>
    <w:link w:val="BodyTextIndentChar"/>
    <w:rsid w:val="00682D3C"/>
    <w:pPr>
      <w:autoSpaceDE w:val="0"/>
      <w:autoSpaceDN w:val="0"/>
    </w:pPr>
    <w:rPr>
      <w:rFonts w:ascii="Arial" w:hAnsi="Arial" w:cs="Arial"/>
      <w:sz w:val="22"/>
      <w:szCs w:val="22"/>
    </w:rPr>
  </w:style>
  <w:style w:type="paragraph" w:styleId="BodyTextIndent3">
    <w:name w:val="Body Text Indent 3"/>
    <w:basedOn w:val="Normal"/>
    <w:rsid w:val="00682D3C"/>
    <w:pPr>
      <w:autoSpaceDE w:val="0"/>
      <w:autoSpaceDN w:val="0"/>
      <w:spacing w:after="120"/>
      <w:ind w:left="360"/>
    </w:pPr>
    <w:rPr>
      <w:rFonts w:ascii="Times" w:hAnsi="Times" w:cs="Times"/>
      <w:sz w:val="16"/>
      <w:szCs w:val="16"/>
    </w:rPr>
  </w:style>
  <w:style w:type="character" w:styleId="Hyperlink">
    <w:name w:val="Hyperlink"/>
    <w:basedOn w:val="DefaultParagraphFont"/>
    <w:rsid w:val="00682D3C"/>
    <w:rPr>
      <w:rFonts w:cs="Times New Roman"/>
      <w:color w:val="0000FF"/>
      <w:u w:val="single"/>
    </w:rPr>
  </w:style>
  <w:style w:type="paragraph" w:customStyle="1" w:styleId="DataField11pt">
    <w:name w:val="Data Field 11pt"/>
    <w:basedOn w:val="Normal"/>
    <w:rsid w:val="00682D3C"/>
    <w:pPr>
      <w:autoSpaceDE w:val="0"/>
      <w:autoSpaceDN w:val="0"/>
      <w:spacing w:line="300" w:lineRule="exact"/>
    </w:pPr>
    <w:rPr>
      <w:rFonts w:ascii="Arial" w:hAnsi="Arial" w:cs="Arial"/>
      <w:sz w:val="22"/>
      <w:szCs w:val="20"/>
    </w:rPr>
  </w:style>
  <w:style w:type="paragraph" w:customStyle="1" w:styleId="FormFieldCaption">
    <w:name w:val="Form Field Caption"/>
    <w:basedOn w:val="Normal"/>
    <w:rsid w:val="00682D3C"/>
    <w:pPr>
      <w:tabs>
        <w:tab w:val="left" w:pos="270"/>
      </w:tabs>
      <w:autoSpaceDE w:val="0"/>
      <w:autoSpaceDN w:val="0"/>
    </w:pPr>
    <w:rPr>
      <w:rFonts w:ascii="Arial" w:hAnsi="Arial" w:cs="Arial"/>
      <w:sz w:val="16"/>
      <w:szCs w:val="16"/>
    </w:rPr>
  </w:style>
  <w:style w:type="character" w:customStyle="1" w:styleId="BodyTextIndentChar">
    <w:name w:val="Body Text Indent Char"/>
    <w:basedOn w:val="DefaultParagraphFont"/>
    <w:link w:val="BodyTextIndent"/>
    <w:locked/>
    <w:rsid w:val="00682D3C"/>
    <w:rPr>
      <w:rFonts w:ascii="Arial" w:hAnsi="Arial" w:cs="Arial"/>
      <w:sz w:val="22"/>
      <w:szCs w:val="22"/>
      <w:lang w:val="en-US" w:eastAsia="en-US" w:bidi="ar-SA"/>
    </w:rPr>
  </w:style>
  <w:style w:type="paragraph" w:customStyle="1" w:styleId="NormalWeb1">
    <w:name w:val="Normal (Web)1"/>
    <w:basedOn w:val="Normal"/>
    <w:next w:val="Normal"/>
    <w:rsid w:val="00682D3C"/>
    <w:pPr>
      <w:autoSpaceDE w:val="0"/>
      <w:autoSpaceDN w:val="0"/>
      <w:adjustRightInd w:val="0"/>
      <w:spacing w:before="240" w:after="240"/>
    </w:pPr>
    <w:rPr>
      <w:rFonts w:ascii="Arial" w:hAnsi="Arial"/>
    </w:rPr>
  </w:style>
  <w:style w:type="character" w:customStyle="1" w:styleId="apple-style-span">
    <w:name w:val="apple-style-span"/>
    <w:basedOn w:val="DefaultParagraphFont"/>
    <w:rsid w:val="00682D3C"/>
    <w:rPr>
      <w:rFonts w:cs="Times New Roman"/>
    </w:rPr>
  </w:style>
  <w:style w:type="character" w:styleId="Strong">
    <w:name w:val="Strong"/>
    <w:basedOn w:val="DefaultParagraphFont"/>
    <w:qFormat/>
    <w:rsid w:val="00682D3C"/>
    <w:rPr>
      <w:rFonts w:cs="Times New Roman"/>
      <w:b/>
      <w:bCs/>
    </w:rPr>
  </w:style>
  <w:style w:type="paragraph" w:styleId="Header">
    <w:name w:val="header"/>
    <w:basedOn w:val="Normal"/>
    <w:rsid w:val="00A40691"/>
    <w:pPr>
      <w:tabs>
        <w:tab w:val="center" w:pos="4320"/>
        <w:tab w:val="right" w:pos="8640"/>
      </w:tabs>
    </w:pPr>
  </w:style>
  <w:style w:type="paragraph" w:styleId="Footer">
    <w:name w:val="footer"/>
    <w:basedOn w:val="Normal"/>
    <w:rsid w:val="00A40691"/>
    <w:pPr>
      <w:tabs>
        <w:tab w:val="center" w:pos="4320"/>
        <w:tab w:val="right" w:pos="8640"/>
      </w:tabs>
    </w:pPr>
  </w:style>
  <w:style w:type="character" w:styleId="CommentReference">
    <w:name w:val="annotation reference"/>
    <w:basedOn w:val="DefaultParagraphFont"/>
    <w:uiPriority w:val="99"/>
    <w:semiHidden/>
    <w:rsid w:val="00A40691"/>
    <w:rPr>
      <w:sz w:val="16"/>
      <w:szCs w:val="16"/>
    </w:rPr>
  </w:style>
  <w:style w:type="paragraph" w:styleId="CommentText">
    <w:name w:val="annotation text"/>
    <w:basedOn w:val="Normal"/>
    <w:link w:val="CommentTextChar"/>
    <w:uiPriority w:val="99"/>
    <w:semiHidden/>
    <w:rsid w:val="00A40691"/>
    <w:rPr>
      <w:sz w:val="20"/>
      <w:szCs w:val="20"/>
    </w:rPr>
  </w:style>
  <w:style w:type="paragraph" w:styleId="CommentSubject">
    <w:name w:val="annotation subject"/>
    <w:basedOn w:val="CommentText"/>
    <w:next w:val="CommentText"/>
    <w:semiHidden/>
    <w:rsid w:val="00A40691"/>
    <w:rPr>
      <w:b/>
      <w:bCs/>
    </w:rPr>
  </w:style>
  <w:style w:type="paragraph" w:styleId="BalloonText">
    <w:name w:val="Balloon Text"/>
    <w:basedOn w:val="Normal"/>
    <w:semiHidden/>
    <w:rsid w:val="00A40691"/>
    <w:rPr>
      <w:rFonts w:ascii="Tahoma" w:hAnsi="Tahoma" w:cs="Tahoma"/>
      <w:sz w:val="16"/>
      <w:szCs w:val="16"/>
    </w:rPr>
  </w:style>
  <w:style w:type="paragraph" w:customStyle="1" w:styleId="StyleDataField11ptBoldJustifiedLinespacingExactly12">
    <w:name w:val="Style Data Field 11pt + Bold Justified Line spacing:  Exactly 12 ..."/>
    <w:basedOn w:val="DataField11pt"/>
    <w:rsid w:val="00DC32FA"/>
    <w:pPr>
      <w:shd w:val="clear" w:color="auto" w:fill="D9D9D9"/>
      <w:spacing w:line="240" w:lineRule="exact"/>
      <w:jc w:val="both"/>
    </w:pPr>
    <w:rPr>
      <w:rFonts w:cs="Times New Roman"/>
      <w:b/>
      <w:bCs/>
      <w:sz w:val="28"/>
    </w:rPr>
  </w:style>
  <w:style w:type="paragraph" w:customStyle="1" w:styleId="StyleDataField11ptBoldJustifiedLinespacingExactly121">
    <w:name w:val="Style Data Field 11pt + Bold Justified Line spacing:  Exactly 12 ...1"/>
    <w:basedOn w:val="DataField11pt"/>
    <w:rsid w:val="00DC32FA"/>
    <w:pPr>
      <w:shd w:val="clear" w:color="auto" w:fill="D9D9D9"/>
      <w:spacing w:line="240" w:lineRule="exact"/>
      <w:jc w:val="both"/>
    </w:pPr>
    <w:rPr>
      <w:rFonts w:cs="Times New Roman"/>
      <w:b/>
      <w:bCs/>
      <w:sz w:val="28"/>
    </w:rPr>
  </w:style>
  <w:style w:type="paragraph" w:styleId="PlainText">
    <w:name w:val="Plain Text"/>
    <w:basedOn w:val="Normal"/>
    <w:link w:val="PlainTextChar"/>
    <w:uiPriority w:val="99"/>
    <w:unhideWhenUsed/>
    <w:rsid w:val="007B21E3"/>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B21E3"/>
    <w:rPr>
      <w:rFonts w:ascii="Consolas" w:eastAsiaTheme="minorHAnsi" w:hAnsi="Consolas" w:cstheme="minorBidi"/>
      <w:sz w:val="21"/>
      <w:szCs w:val="21"/>
    </w:rPr>
  </w:style>
  <w:style w:type="paragraph" w:styleId="ListParagraph">
    <w:name w:val="List Paragraph"/>
    <w:basedOn w:val="Normal"/>
    <w:uiPriority w:val="34"/>
    <w:qFormat/>
    <w:rsid w:val="00C754DA"/>
    <w:pPr>
      <w:ind w:left="720"/>
      <w:contextualSpacing/>
    </w:pPr>
  </w:style>
  <w:style w:type="paragraph" w:styleId="Revision">
    <w:name w:val="Revision"/>
    <w:hidden/>
    <w:uiPriority w:val="99"/>
    <w:semiHidden/>
    <w:rsid w:val="000421B2"/>
    <w:rPr>
      <w:sz w:val="24"/>
      <w:szCs w:val="24"/>
    </w:rPr>
  </w:style>
  <w:style w:type="character" w:styleId="UnresolvedMention">
    <w:name w:val="Unresolved Mention"/>
    <w:basedOn w:val="DefaultParagraphFont"/>
    <w:uiPriority w:val="99"/>
    <w:semiHidden/>
    <w:unhideWhenUsed/>
    <w:rsid w:val="001B629C"/>
    <w:rPr>
      <w:color w:val="605E5C"/>
      <w:shd w:val="clear" w:color="auto" w:fill="E1DFDD"/>
    </w:rPr>
  </w:style>
  <w:style w:type="character" w:customStyle="1" w:styleId="normaltextrun">
    <w:name w:val="normaltextrun"/>
    <w:basedOn w:val="DefaultParagraphFont"/>
    <w:rsid w:val="009350B8"/>
  </w:style>
  <w:style w:type="character" w:customStyle="1" w:styleId="CommentTextChar">
    <w:name w:val="Comment Text Char"/>
    <w:basedOn w:val="DefaultParagraphFont"/>
    <w:link w:val="CommentText"/>
    <w:uiPriority w:val="99"/>
    <w:semiHidden/>
    <w:rsid w:val="00656392"/>
  </w:style>
  <w:style w:type="paragraph" w:customStyle="1" w:styleId="paragraph">
    <w:name w:val="paragraph"/>
    <w:basedOn w:val="Normal"/>
    <w:rsid w:val="006A60C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13965">
      <w:bodyDiv w:val="1"/>
      <w:marLeft w:val="0"/>
      <w:marRight w:val="0"/>
      <w:marTop w:val="0"/>
      <w:marBottom w:val="0"/>
      <w:divBdr>
        <w:top w:val="none" w:sz="0" w:space="0" w:color="auto"/>
        <w:left w:val="none" w:sz="0" w:space="0" w:color="auto"/>
        <w:bottom w:val="none" w:sz="0" w:space="0" w:color="auto"/>
        <w:right w:val="none" w:sz="0" w:space="0" w:color="auto"/>
      </w:divBdr>
    </w:div>
    <w:div w:id="175076556">
      <w:bodyDiv w:val="1"/>
      <w:marLeft w:val="0"/>
      <w:marRight w:val="0"/>
      <w:marTop w:val="0"/>
      <w:marBottom w:val="0"/>
      <w:divBdr>
        <w:top w:val="none" w:sz="0" w:space="0" w:color="auto"/>
        <w:left w:val="none" w:sz="0" w:space="0" w:color="auto"/>
        <w:bottom w:val="none" w:sz="0" w:space="0" w:color="auto"/>
        <w:right w:val="none" w:sz="0" w:space="0" w:color="auto"/>
      </w:divBdr>
    </w:div>
    <w:div w:id="516969939">
      <w:bodyDiv w:val="1"/>
      <w:marLeft w:val="60"/>
      <w:marRight w:val="60"/>
      <w:marTop w:val="60"/>
      <w:marBottom w:val="15"/>
      <w:divBdr>
        <w:top w:val="none" w:sz="0" w:space="0" w:color="auto"/>
        <w:left w:val="none" w:sz="0" w:space="0" w:color="auto"/>
        <w:bottom w:val="none" w:sz="0" w:space="0" w:color="auto"/>
        <w:right w:val="none" w:sz="0" w:space="0" w:color="auto"/>
      </w:divBdr>
    </w:div>
    <w:div w:id="695235567">
      <w:bodyDiv w:val="1"/>
      <w:marLeft w:val="0"/>
      <w:marRight w:val="0"/>
      <w:marTop w:val="0"/>
      <w:marBottom w:val="0"/>
      <w:divBdr>
        <w:top w:val="none" w:sz="0" w:space="0" w:color="auto"/>
        <w:left w:val="none" w:sz="0" w:space="0" w:color="auto"/>
        <w:bottom w:val="none" w:sz="0" w:space="0" w:color="auto"/>
        <w:right w:val="none" w:sz="0" w:space="0" w:color="auto"/>
      </w:divBdr>
    </w:div>
    <w:div w:id="737704336">
      <w:bodyDiv w:val="1"/>
      <w:marLeft w:val="0"/>
      <w:marRight w:val="0"/>
      <w:marTop w:val="0"/>
      <w:marBottom w:val="0"/>
      <w:divBdr>
        <w:top w:val="none" w:sz="0" w:space="0" w:color="auto"/>
        <w:left w:val="none" w:sz="0" w:space="0" w:color="auto"/>
        <w:bottom w:val="none" w:sz="0" w:space="0" w:color="auto"/>
        <w:right w:val="none" w:sz="0" w:space="0" w:color="auto"/>
      </w:divBdr>
    </w:div>
    <w:div w:id="752892204">
      <w:bodyDiv w:val="1"/>
      <w:marLeft w:val="0"/>
      <w:marRight w:val="0"/>
      <w:marTop w:val="0"/>
      <w:marBottom w:val="0"/>
      <w:divBdr>
        <w:top w:val="none" w:sz="0" w:space="0" w:color="auto"/>
        <w:left w:val="none" w:sz="0" w:space="0" w:color="auto"/>
        <w:bottom w:val="none" w:sz="0" w:space="0" w:color="auto"/>
        <w:right w:val="none" w:sz="0" w:space="0" w:color="auto"/>
      </w:divBdr>
    </w:div>
    <w:div w:id="789973606">
      <w:bodyDiv w:val="1"/>
      <w:marLeft w:val="0"/>
      <w:marRight w:val="0"/>
      <w:marTop w:val="0"/>
      <w:marBottom w:val="0"/>
      <w:divBdr>
        <w:top w:val="none" w:sz="0" w:space="0" w:color="auto"/>
        <w:left w:val="none" w:sz="0" w:space="0" w:color="auto"/>
        <w:bottom w:val="none" w:sz="0" w:space="0" w:color="auto"/>
        <w:right w:val="none" w:sz="0" w:space="0" w:color="auto"/>
      </w:divBdr>
    </w:div>
    <w:div w:id="850754810">
      <w:bodyDiv w:val="1"/>
      <w:marLeft w:val="0"/>
      <w:marRight w:val="0"/>
      <w:marTop w:val="0"/>
      <w:marBottom w:val="0"/>
      <w:divBdr>
        <w:top w:val="none" w:sz="0" w:space="0" w:color="auto"/>
        <w:left w:val="none" w:sz="0" w:space="0" w:color="auto"/>
        <w:bottom w:val="none" w:sz="0" w:space="0" w:color="auto"/>
        <w:right w:val="none" w:sz="0" w:space="0" w:color="auto"/>
      </w:divBdr>
    </w:div>
    <w:div w:id="1131362715">
      <w:bodyDiv w:val="1"/>
      <w:marLeft w:val="0"/>
      <w:marRight w:val="0"/>
      <w:marTop w:val="0"/>
      <w:marBottom w:val="0"/>
      <w:divBdr>
        <w:top w:val="none" w:sz="0" w:space="0" w:color="auto"/>
        <w:left w:val="none" w:sz="0" w:space="0" w:color="auto"/>
        <w:bottom w:val="none" w:sz="0" w:space="0" w:color="auto"/>
        <w:right w:val="none" w:sz="0" w:space="0" w:color="auto"/>
      </w:divBdr>
    </w:div>
    <w:div w:id="1148594330">
      <w:bodyDiv w:val="1"/>
      <w:marLeft w:val="0"/>
      <w:marRight w:val="0"/>
      <w:marTop w:val="0"/>
      <w:marBottom w:val="0"/>
      <w:divBdr>
        <w:top w:val="none" w:sz="0" w:space="0" w:color="auto"/>
        <w:left w:val="none" w:sz="0" w:space="0" w:color="auto"/>
        <w:bottom w:val="none" w:sz="0" w:space="0" w:color="auto"/>
        <w:right w:val="none" w:sz="0" w:space="0" w:color="auto"/>
      </w:divBdr>
      <w:divsChild>
        <w:div w:id="948857405">
          <w:marLeft w:val="0"/>
          <w:marRight w:val="0"/>
          <w:marTop w:val="0"/>
          <w:marBottom w:val="0"/>
          <w:divBdr>
            <w:top w:val="none" w:sz="0" w:space="0" w:color="auto"/>
            <w:left w:val="none" w:sz="0" w:space="0" w:color="auto"/>
            <w:bottom w:val="none" w:sz="0" w:space="0" w:color="auto"/>
            <w:right w:val="none" w:sz="0" w:space="0" w:color="auto"/>
          </w:divBdr>
        </w:div>
      </w:divsChild>
    </w:div>
    <w:div w:id="1155222988">
      <w:bodyDiv w:val="1"/>
      <w:marLeft w:val="0"/>
      <w:marRight w:val="0"/>
      <w:marTop w:val="0"/>
      <w:marBottom w:val="0"/>
      <w:divBdr>
        <w:top w:val="none" w:sz="0" w:space="0" w:color="auto"/>
        <w:left w:val="none" w:sz="0" w:space="0" w:color="auto"/>
        <w:bottom w:val="none" w:sz="0" w:space="0" w:color="auto"/>
        <w:right w:val="none" w:sz="0" w:space="0" w:color="auto"/>
      </w:divBdr>
      <w:divsChild>
        <w:div w:id="475073091">
          <w:marLeft w:val="0"/>
          <w:marRight w:val="0"/>
          <w:marTop w:val="0"/>
          <w:marBottom w:val="0"/>
          <w:divBdr>
            <w:top w:val="none" w:sz="0" w:space="0" w:color="auto"/>
            <w:left w:val="none" w:sz="0" w:space="0" w:color="auto"/>
            <w:bottom w:val="none" w:sz="0" w:space="0" w:color="auto"/>
            <w:right w:val="none" w:sz="0" w:space="0" w:color="auto"/>
          </w:divBdr>
        </w:div>
      </w:divsChild>
    </w:div>
    <w:div w:id="1449083146">
      <w:bodyDiv w:val="1"/>
      <w:marLeft w:val="0"/>
      <w:marRight w:val="0"/>
      <w:marTop w:val="0"/>
      <w:marBottom w:val="0"/>
      <w:divBdr>
        <w:top w:val="none" w:sz="0" w:space="0" w:color="auto"/>
        <w:left w:val="none" w:sz="0" w:space="0" w:color="auto"/>
        <w:bottom w:val="none" w:sz="0" w:space="0" w:color="auto"/>
        <w:right w:val="none" w:sz="0" w:space="0" w:color="auto"/>
      </w:divBdr>
    </w:div>
    <w:div w:id="1599677391">
      <w:bodyDiv w:val="1"/>
      <w:marLeft w:val="0"/>
      <w:marRight w:val="0"/>
      <w:marTop w:val="0"/>
      <w:marBottom w:val="0"/>
      <w:divBdr>
        <w:top w:val="none" w:sz="0" w:space="0" w:color="auto"/>
        <w:left w:val="none" w:sz="0" w:space="0" w:color="auto"/>
        <w:bottom w:val="none" w:sz="0" w:space="0" w:color="auto"/>
        <w:right w:val="none" w:sz="0" w:space="0" w:color="auto"/>
      </w:divBdr>
    </w:div>
    <w:div w:id="1736275370">
      <w:bodyDiv w:val="1"/>
      <w:marLeft w:val="0"/>
      <w:marRight w:val="0"/>
      <w:marTop w:val="0"/>
      <w:marBottom w:val="0"/>
      <w:divBdr>
        <w:top w:val="none" w:sz="0" w:space="0" w:color="auto"/>
        <w:left w:val="none" w:sz="0" w:space="0" w:color="auto"/>
        <w:bottom w:val="none" w:sz="0" w:space="0" w:color="auto"/>
        <w:right w:val="none" w:sz="0" w:space="0" w:color="auto"/>
      </w:divBdr>
    </w:div>
    <w:div w:id="1908763844">
      <w:bodyDiv w:val="1"/>
      <w:marLeft w:val="0"/>
      <w:marRight w:val="0"/>
      <w:marTop w:val="0"/>
      <w:marBottom w:val="0"/>
      <w:divBdr>
        <w:top w:val="none" w:sz="0" w:space="0" w:color="auto"/>
        <w:left w:val="none" w:sz="0" w:space="0" w:color="auto"/>
        <w:bottom w:val="none" w:sz="0" w:space="0" w:color="auto"/>
        <w:right w:val="none" w:sz="0" w:space="0" w:color="auto"/>
      </w:divBdr>
    </w:div>
    <w:div w:id="1977642155">
      <w:bodyDiv w:val="1"/>
      <w:marLeft w:val="0"/>
      <w:marRight w:val="0"/>
      <w:marTop w:val="0"/>
      <w:marBottom w:val="0"/>
      <w:divBdr>
        <w:top w:val="none" w:sz="0" w:space="0" w:color="auto"/>
        <w:left w:val="none" w:sz="0" w:space="0" w:color="auto"/>
        <w:bottom w:val="none" w:sz="0" w:space="0" w:color="auto"/>
        <w:right w:val="none" w:sz="0" w:space="0" w:color="auto"/>
      </w:divBdr>
      <w:divsChild>
        <w:div w:id="967198004">
          <w:marLeft w:val="0"/>
          <w:marRight w:val="0"/>
          <w:marTop w:val="0"/>
          <w:marBottom w:val="0"/>
          <w:divBdr>
            <w:top w:val="none" w:sz="0" w:space="0" w:color="auto"/>
            <w:left w:val="none" w:sz="0" w:space="0" w:color="auto"/>
            <w:bottom w:val="none" w:sz="0" w:space="0" w:color="auto"/>
            <w:right w:val="none" w:sz="0" w:space="0" w:color="auto"/>
          </w:divBdr>
        </w:div>
      </w:divsChild>
    </w:div>
    <w:div w:id="1981298812">
      <w:bodyDiv w:val="1"/>
      <w:marLeft w:val="0"/>
      <w:marRight w:val="0"/>
      <w:marTop w:val="0"/>
      <w:marBottom w:val="0"/>
      <w:divBdr>
        <w:top w:val="none" w:sz="0" w:space="0" w:color="auto"/>
        <w:left w:val="none" w:sz="0" w:space="0" w:color="auto"/>
        <w:bottom w:val="none" w:sz="0" w:space="0" w:color="auto"/>
        <w:right w:val="none" w:sz="0" w:space="0" w:color="auto"/>
      </w:divBdr>
      <w:divsChild>
        <w:div w:id="322204446">
          <w:marLeft w:val="0"/>
          <w:marRight w:val="0"/>
          <w:marTop w:val="0"/>
          <w:marBottom w:val="0"/>
          <w:divBdr>
            <w:top w:val="none" w:sz="0" w:space="0" w:color="auto"/>
            <w:left w:val="none" w:sz="0" w:space="0" w:color="auto"/>
            <w:bottom w:val="none" w:sz="0" w:space="0" w:color="auto"/>
            <w:right w:val="none" w:sz="0" w:space="0" w:color="auto"/>
          </w:divBdr>
          <w:divsChild>
            <w:div w:id="894924525">
              <w:marLeft w:val="0"/>
              <w:marRight w:val="0"/>
              <w:marTop w:val="0"/>
              <w:marBottom w:val="0"/>
              <w:divBdr>
                <w:top w:val="none" w:sz="0" w:space="0" w:color="auto"/>
                <w:left w:val="none" w:sz="0" w:space="0" w:color="auto"/>
                <w:bottom w:val="none" w:sz="0" w:space="0" w:color="auto"/>
                <w:right w:val="none" w:sz="0" w:space="0" w:color="auto"/>
              </w:divBdr>
              <w:divsChild>
                <w:div w:id="2872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885363">
      <w:bodyDiv w:val="1"/>
      <w:marLeft w:val="0"/>
      <w:marRight w:val="0"/>
      <w:marTop w:val="0"/>
      <w:marBottom w:val="0"/>
      <w:divBdr>
        <w:top w:val="none" w:sz="0" w:space="0" w:color="auto"/>
        <w:left w:val="none" w:sz="0" w:space="0" w:color="auto"/>
        <w:bottom w:val="none" w:sz="0" w:space="0" w:color="auto"/>
        <w:right w:val="none" w:sz="0" w:space="0" w:color="auto"/>
      </w:divBdr>
    </w:div>
    <w:div w:id="2092004418">
      <w:bodyDiv w:val="1"/>
      <w:marLeft w:val="0"/>
      <w:marRight w:val="0"/>
      <w:marTop w:val="0"/>
      <w:marBottom w:val="0"/>
      <w:divBdr>
        <w:top w:val="none" w:sz="0" w:space="0" w:color="auto"/>
        <w:left w:val="none" w:sz="0" w:space="0" w:color="auto"/>
        <w:bottom w:val="none" w:sz="0" w:space="0" w:color="auto"/>
        <w:right w:val="none" w:sz="0" w:space="0" w:color="auto"/>
      </w:divBdr>
      <w:divsChild>
        <w:div w:id="133253859">
          <w:marLeft w:val="0"/>
          <w:marRight w:val="0"/>
          <w:marTop w:val="0"/>
          <w:marBottom w:val="0"/>
          <w:divBdr>
            <w:top w:val="none" w:sz="0" w:space="0" w:color="auto"/>
            <w:left w:val="none" w:sz="0" w:space="0" w:color="auto"/>
            <w:bottom w:val="none" w:sz="0" w:space="0" w:color="auto"/>
            <w:right w:val="none" w:sz="0" w:space="0" w:color="auto"/>
          </w:divBdr>
        </w:div>
      </w:divsChild>
    </w:div>
    <w:div w:id="2134596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cope.cmh.edu/research/research-support/researcher-resources/genomic-core-service-center/" TargetMode="External"/><Relationship Id="rId18"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enomicscore@cmh.edu" TargetMode="External"/><Relationship Id="rId17" Type="http://schemas.openxmlformats.org/officeDocument/2006/relationships/hyperlink" Target="https://www.childrenshospitals.org/programs-and-services/data-analytics-and-research/pediatric-analytic-solutions/pediatric-health-information-system"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am04.safelinks.protection.outlook.com/?url=https%3A%2F%2Fwww.pharmvar.org%2F&amp;data=05%7C02%7Ccafoster%40cmh.edu%7C5c0864ecda2348f25fc008dc451ffa04%7Cfcdc7058dd484a8190b6281159ae72e0%7C0%7C0%7C638461250872568747%7CUnknown%7CTWFpbGZsb3d8eyJWIjoiMC4wLjAwMDAiLCJQIjoiV2luMzIiLCJBTiI6Ik1haWwiLCJXVCI6Mn0%3D%7C0%7C%7C%7C&amp;sdata=p6A53HyTus4LzfFoCVuhVbYLESqMF2sFMGSfR0XlMb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 
</file>

<file path=customXml/item3.xml><?xml version="1.0" encoding="utf-8"?>
<ct:contentTypeSchema xmlns:ct="http://schemas.microsoft.com/office/2006/metadata/contentType" xmlns:ma="http://schemas.microsoft.com/office/2006/metadata/properties/metaAttributes" ct:_="" ma:_="" ma:contentTypeName="Document" ma:contentTypeID="0x010100BBAFB202906ECD41AD61EABC30238245" ma:contentTypeVersion="12" ma:contentTypeDescription="Create a new document." ma:contentTypeScope="" ma:versionID="59baeb6b680686fb73224ebd100faeca">
  <xsd:schema xmlns:xsd="http://www.w3.org/2001/XMLSchema" xmlns:xs="http://www.w3.org/2001/XMLSchema" xmlns:p="http://schemas.microsoft.com/office/2006/metadata/properties" xmlns:ns3="cd451b63-5e93-43d9-8447-7e2f5e821e20" xmlns:ns4="570165c4-b9f6-4776-b712-8cefddd57115" targetNamespace="http://schemas.microsoft.com/office/2006/metadata/properties" ma:root="true" ma:fieldsID="72ca5306dd1cbc6865de748ffb4bc666" ns3:_="" ns4:_="">
    <xsd:import namespace="cd451b63-5e93-43d9-8447-7e2f5e821e20"/>
    <xsd:import namespace="570165c4-b9f6-4776-b712-8cefddd5711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451b63-5e93-43d9-8447-7e2f5e821e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0165c4-b9f6-4776-b712-8cefddd5711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447FD8-070A-4717-A59F-6CAB8E133C4D}">
  <ds:schemaRefs>
    <ds:schemaRef ds:uri="http://schemas.microsoft.com/sharepoint/v3/contenttype/forms"/>
  </ds:schemaRefs>
</ds:datastoreItem>
</file>

<file path=customXml/itemProps2.xml><?xml version="1.0" encoding="utf-8"?>
<ds:datastoreItem xmlns:ds="http://schemas.openxmlformats.org/officeDocument/2006/customXml" ds:itemID="{2540751F-7E07-49A0-8CF6-3A998D35136E}">
  <ds:schemaRefs>
    <ds:schemaRef ds:uri="http://www.simcyp.com/"/>
  </ds:schemaRefs>
</ds:datastoreItem>
</file>

<file path=customXml/itemProps3.xml><?xml version="1.0" encoding="utf-8"?>
<ds:datastoreItem xmlns:ds="http://schemas.openxmlformats.org/officeDocument/2006/customXml" ds:itemID="{B1010F65-9D3D-479A-AB31-C5FF9830DB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451b63-5e93-43d9-8447-7e2f5e821e20"/>
    <ds:schemaRef ds:uri="570165c4-b9f6-4776-b712-8cefddd571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11B08C-02BF-450D-A8F0-472457F5C18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fcdc7058-dd48-4a81-90b6-281159ae72e0}" enabled="0" method="" siteId="{fcdc7058-dd48-4a81-90b6-281159ae72e0}" removed="1"/>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10186</Words>
  <Characters>62709</Characters>
  <Application>Microsoft Office Word</Application>
  <DocSecurity>4</DocSecurity>
  <Lines>522</Lines>
  <Paragraphs>145</Paragraphs>
  <ScaleCrop>false</ScaleCrop>
  <HeadingPairs>
    <vt:vector size="2" baseType="variant">
      <vt:variant>
        <vt:lpstr>Title</vt:lpstr>
      </vt:variant>
      <vt:variant>
        <vt:i4>1</vt:i4>
      </vt:variant>
    </vt:vector>
  </HeadingPairs>
  <TitlesOfParts>
    <vt:vector size="1" baseType="lpstr">
      <vt:lpstr>POETIC Laboratory for Pre-clinical and Drug discovery Studies in Rare and Refractory Pediatric Malignancies</vt:lpstr>
    </vt:vector>
  </TitlesOfParts>
  <Company>Alberta Cancer Board</Company>
  <LinksUpToDate>false</LinksUpToDate>
  <CharactersWithSpaces>72750</CharactersWithSpaces>
  <SharedDoc>false</SharedDoc>
  <HLinks>
    <vt:vector size="6" baseType="variant">
      <vt:variant>
        <vt:i4>2621474</vt:i4>
      </vt:variant>
      <vt:variant>
        <vt:i4>0</vt:i4>
      </vt:variant>
      <vt:variant>
        <vt:i4>0</vt:i4>
      </vt:variant>
      <vt:variant>
        <vt:i4>5</vt:i4>
      </vt:variant>
      <vt:variant>
        <vt:lpwstr>http://www.pharmaadme.org/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POETIC Laboratory for Pre-clinical and Drug discovery Studies in Rare and Refractory Pediatric Malignancies</dc:title>
  <dc:creator>arunaren</dc:creator>
  <cp:lastModifiedBy>Kelly Hale</cp:lastModifiedBy>
  <cp:revision>2</cp:revision>
  <cp:lastPrinted>2021-02-24T15:52:00Z</cp:lastPrinted>
  <dcterms:created xsi:type="dcterms:W3CDTF">2024-03-20T15:39:00Z</dcterms:created>
  <dcterms:modified xsi:type="dcterms:W3CDTF">2024-03-20T15:39:00Z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0x010100BBAFB202906ECD41AD61EABC30238245</vt:lpwstr>
  </property>
</Properties>
</file>